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06 DATA ARCHITECTURE</w:t>
      </w:r>
    </w:p>
    <w:p>
      <w:r>
        <w:t>Storage</w:t>
        <w:br/>
        <w:t>Secure storage: sensitive session/auth values.</w:t>
        <w:br/>
        <w:t>GetStorage: fast preferences such as theme/locale.</w:t>
        <w:br/>
        <w:t>SQLite: db_helper exists under core/local_db; audit describes usage as limited/preparatory.</w:t>
        <w:br/>
        <w:t>Remote: REST backend. MongoDB is only inferred from _id usage and must be verified.</w:t>
      </w:r>
    </w:p>
    <w:p>
      <w:r>
        <w:t>Current issue</w:t>
        <w:br/>
        <w:t>Models are sometimes defined inside controllers, including Invoice in invoice_controller.dart.</w:t>
      </w:r>
    </w:p>
    <w:p>
      <w:r>
        <w:t>Target</w:t>
        <w:br/>
        <w:t>Feature-local models under features/&lt;feature&gt;/models unless genuinely shared.</w:t>
      </w:r>
    </w:p>
    <w:p>
      <w:r>
        <w:t>Every model inventory must record class, file, fields/types/nullability, JSON keys, serialization, API consumers, persistence, validation, and UI consumers.</w:t>
      </w:r>
    </w:p>
    <w:p>
      <w:r>
        <w:t>Never change JSON keys, field semantics, dates, or nullability without backend verification.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