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Auriva BMS</w:t>
      </w:r>
    </w:p>
    <w:p>
      <w:pPr>
        <w:pStyle w:val="Heading1"/>
      </w:pPr>
      <w:r>
        <w:t>09 DESIGN SYSTEM</w:t>
      </w:r>
    </w:p>
    <w:p>
      <w:r>
        <w:t>Current audit evidence</w:t>
        <w:br/>
        <w:t>AppTheme, ThemeService, GetStorage, google_fonts, lucide_icons, flutter_svg, shared widgets, and ResponsiveLayout.</w:t>
      </w:r>
    </w:p>
    <w:p>
      <w:r>
        <w:t>Token categories</w:t>
        <w:br/>
        <w:t>Colors, semantic states, typography, spacing, radius, elevation, icon sizes, control heights, animation durations.</w:t>
      </w:r>
    </w:p>
    <w:p>
      <w:r>
        <w:t>Components to standardize</w:t>
        <w:br/>
        <w:t>CommonText, inputs, buttons, cards, badges, top bars, dialogs, bottom sheets, snackbars/toasts, empty/loading/error states, list rows, tables and responsive containers.</w:t>
      </w:r>
    </w:p>
    <w:p>
      <w:r>
        <w:t>Rule</w:t>
        <w:br/>
        <w:t>Refactoring is not redesign. First centralize repeated styles and components while preserving the approved visual result.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