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11 RESPONSIVE RULES</w:t>
      </w:r>
    </w:p>
    <w:p>
      <w:r>
        <w:t>Current shell</w:t>
        <w:br/>
        <w:t>Mobile: floating Bottom Navigation Bar.</w:t>
        <w:br/>
        <w:t>Tablet: NavigationRail.</w:t>
        <w:br/>
        <w:t>Desktop: premium Sidebar.</w:t>
        <w:br/>
        <w:t>Core utility: ResponsiveLayout.</w:t>
      </w:r>
    </w:p>
    <w:p>
      <w:r>
        <w:t>Every feature must define behavior for mobile portrait, mobile landscape where supported, tablet and desktop/web.</w:t>
      </w:r>
    </w:p>
    <w:p>
      <w:r>
        <w:t>Rules</w:t>
        <w:br/>
        <w:t>Avoid horizontal overflow; adapt layouts; preserve touch targets; use shared breakpoints; avoid arbitrary feature-specific thresholds; verify keyboard, dialogs, lists/grids and scrolling.</w:t>
      </w:r>
    </w:p>
    <w:p>
      <w:r>
        <w:t>Verification</w:t>
        <w:br/>
        <w:t>Test narrow mobile, tablet and wide desktop and record any intentional differences.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