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Auriva BMS</w:t>
      </w:r>
    </w:p>
    <w:p>
      <w:pPr>
        <w:pStyle w:val="Heading1"/>
      </w:pPr>
      <w:r>
        <w:t>12 TECHNICAL DEBT</w:t>
      </w:r>
    </w:p>
    <w:p>
      <w:r>
        <w:t>Critical debt</w:t>
        <w:br/>
        <w:t>TD-001 Invoice screen ~147KB — modularize.</w:t>
        <w:br/>
        <w:t>TD-002 Quotation screen ~211KB — modularize.</w:t>
        <w:br/>
        <w:t>TD-003 Legacy/old files — verify references before deletion.</w:t>
        <w:br/>
        <w:t>TD-004 Models inside controllers — extract.</w:t>
        <w:br/>
        <w:t>TD-005 Routing inconsistency — classify and normalize.</w:t>
        <w:br/>
        <w:t>TD-006 No meaningful automated tests — establish baseline.</w:t>
        <w:br/>
        <w:t>TD-007 Mixed Get.snackbar/Fluttertoast/raw dialogs — standardize.</w:t>
        <w:br/>
        <w:t>TD-008 limit=1000 pagination risk — verify backend and implement pagination.</w:t>
      </w:r>
    </w:p>
    <w:p>
      <w:r>
        <w:t>Every debt item must include ID, evidence, impact, severity, files, proposed resolution, dependencies, acceptance criteria and status.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