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13 REFACTORING MASTER PLAN</w:t>
      </w:r>
    </w:p>
    <w:p>
      <w:r>
        <w:t>Phase 0 — Evidence lock</w:t>
        <w:br/>
        <w:t>Re-verify repository facts, routes, models, API and tests without behavior changes.</w:t>
      </w:r>
    </w:p>
    <w:p>
      <w:r>
        <w:t>Phase 1 — Structural cleanup</w:t>
        <w:br/>
        <w:t>Verify/remove legacy code; extract models; modularize Invoice; modularize Quotation; normalize routing; standardize feedback.</w:t>
      </w:r>
    </w:p>
    <w:p>
      <w:r>
        <w:t>Phase 2 — Feature hardening</w:t>
        <w:br/>
        <w:t>API error parsing, pagination, loading/empty/error states, validation, repository/service boundaries.</w:t>
      </w:r>
    </w:p>
    <w:p>
      <w:r>
        <w:t>Phase 3 — Testing</w:t>
        <w:br/>
        <w:t>Unit, widget, integration, regression and responsive checks.</w:t>
      </w:r>
    </w:p>
    <w:p>
      <w:r>
        <w:t>Phase 4 — Production</w:t>
        <w:br/>
        <w:t>Release builds, signing, Firebase/OneSignal, permissions, monitoring and store readiness.</w:t>
      </w:r>
    </w:p>
    <w:p>
      <w:r>
        <w:t>Gate</w:t>
        <w:br/>
        <w:t>Do not begin broad feature expansion until critical refactoring and regression gates pass.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