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15 QUOTATION REFACTOR PLAN</w:t>
      </w:r>
    </w:p>
    <w:p>
      <w:r>
        <w:t>Current evidence</w:t>
        <w:br/>
        <w:t>Quotation creation screen is ~211KB.</w:t>
      </w:r>
    </w:p>
    <w:p>
      <w:r>
        <w:t>Target</w:t>
        <w:br/>
        <w:t>features/quotations/</w:t>
        <w:br/>
        <w:t xml:space="preserve">  controllers/</w:t>
        <w:br/>
        <w:t xml:space="preserve">  models/</w:t>
        <w:br/>
        <w:t xml:space="preserve">  repositories/</w:t>
        <w:br/>
        <w:t xml:space="preserve">  services/</w:t>
        <w:br/>
        <w:t xml:space="preserve">  screens/</w:t>
        <w:br/>
        <w:t xml:space="preserve">  widgets/</w:t>
      </w:r>
    </w:p>
    <w:p>
      <w:r>
        <w:t>Extraction order</w:t>
        <w:br/>
        <w:t>Inventory UI → state → API calls → validation → calculations → models → extract pure rules → extract widgets → extract repository/service → reduce screen to composition → run visual regression.</w:t>
      </w:r>
    </w:p>
    <w:p>
      <w:r>
        <w:t>Acceptance</w:t>
        <w:br/>
        <w:t>Existing quotation behavior remains unchanged unless explicitly approved. No new API fields or endpoints are invented during refactoring.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