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16 TEST STRATEGY</w:t>
      </w:r>
    </w:p>
    <w:p>
      <w:r>
        <w:t>Current</w:t>
        <w:br/>
        <w:t>Audit reports essentially no meaningful automated tests.</w:t>
      </w:r>
    </w:p>
    <w:p>
      <w:r>
        <w:t>Unit</w:t>
        <w:br/>
        <w:t>Models, serialization, invoice/quotation calculations, validators, mappers and response parsing.</w:t>
      </w:r>
    </w:p>
    <w:p>
      <w:r>
        <w:t>Controller</w:t>
        <w:br/>
        <w:t>Loading, success, error, empty, retry, state transitions and auth failures.</w:t>
      </w:r>
    </w:p>
    <w:p>
      <w:r>
        <w:t>Widget</w:t>
        <w:br/>
        <w:t>Rendering, validation, interactions, loading/error/empty states and responsive behavior.</w:t>
      </w:r>
    </w:p>
    <w:p>
      <w:r>
        <w:t>Integration</w:t>
        <w:br/>
        <w:t>Authentication, invoice CRUD, quotation CRUD, clients and navigation.</w:t>
      </w:r>
    </w:p>
    <w:p>
      <w:r>
        <w:t>Regression</w:t>
        <w:br/>
        <w:t>Critical customer workflows must be repeatable before release.</w:t>
      </w:r>
    </w:p>
    <w:p>
      <w:r>
        <w:t>Coverage percentage is useful but not the only quality measure.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