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19 CODE QUALITY RULES</w:t>
      </w:r>
    </w:p>
    <w:p>
      <w:r>
        <w:t>Dart/Flutter</w:t>
        <w:br/>
        <w:t>Use dart format; keep analyzer clean for touched code; small focused classes; dispose resources; reuse constants/widgets.</w:t>
      </w:r>
    </w:p>
    <w:p>
      <w:r>
        <w:t>GetX</w:t>
        <w:br/>
        <w:t>Keep controllers feature-focused; avoid unnecessary Obx; do not create God controllers; use existing DI/bindings conventions.</w:t>
      </w:r>
    </w:p>
    <w:p>
      <w:r>
        <w:t>UI</w:t>
        <w:br/>
        <w:t>Preserve approved UI; use theme tokens; implement loading/empty/error states; avoid arbitrary one-off styles.</w:t>
      </w:r>
    </w:p>
    <w:p>
      <w:r>
        <w:t>API</w:t>
        <w:br/>
        <w:t>No HTTP directly from widgets; use ApiService; parse errors consistently; do not use huge limits instead of pagination.</w:t>
      </w:r>
    </w:p>
    <w:p>
      <w:r>
        <w:t>Documentation</w:t>
        <w:br/>
        <w:t>Update relevant AI docs after architecture changes.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