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24 DECISIONS</w:t>
      </w:r>
    </w:p>
    <w:p>
      <w:r>
        <w:t>ADR-001 — Preserve GetX</w:t>
        <w:br/>
        <w:t>Continue GetX because it is the existing dominant ecosystem.</w:t>
      </w:r>
    </w:p>
    <w:p>
      <w:r>
        <w:t>ADR-002 — Refactor instead of rewrite</w:t>
        <w:br/>
        <w:t>Modularize existing screens while preserving behavior.</w:t>
      </w:r>
    </w:p>
    <w:p>
      <w:r>
        <w:t>ADR-003 — Controllers are orchestrators</w:t>
        <w:br/>
        <w:t>Controllers coordinate; pure rules and data-access boundaries remain independently testable.</w:t>
      </w:r>
    </w:p>
    <w:p>
      <w:r>
        <w:t>ADR-004 — Feature-local models</w:t>
        <w:br/>
        <w:t>Keep models in their owning feature unless genuinely shared.</w:t>
      </w:r>
    </w:p>
    <w:p>
      <w:r>
        <w:t>ADR-005 — Central API transport</w:t>
        <w:br/>
        <w:t>Keep HTTP transport and common auth/error behavior centralized.</w:t>
      </w:r>
    </w:p>
    <w:p>
      <w:r>
        <w:t>ADR-006 — Evidence before deletion</w:t>
        <w:br/>
        <w:t>Remove legacy files only after reference and behavior verification.</w:t>
      </w:r>
    </w:p>
    <w:p>
      <w:r>
        <w:t>ADR-007 — Tests as refactoring gate</w:t>
        <w:br/>
        <w:t>Critical logic receives regression coverage before broad expansion.</w:t>
      </w:r>
    </w:p>
    <w:p>
      <w:r>
        <w:t>ADR-008 — UI parity</w:t>
        <w:br/>
        <w:t>Refactoring is not redesign; visual changes require explicit scope.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