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25 AI MEMORY</w:t>
      </w:r>
    </w:p>
    <w:p>
      <w:r>
        <w:t>Permanent engineering context</w:t>
        <w:br/>
        <w:t>• Auriva BMS.</w:t>
        <w:br/>
        <w:t>• Flutter.</w:t>
        <w:br/>
        <w:t>• GetX.</w:t>
        <w:br/>
        <w:t>• Feature-based architecture.</w:t>
        <w:br/>
        <w:t>• Central ApiService.</w:t>
        <w:br/>
        <w:t>• Major debt: Invoice and Quotation monolithic screens.</w:t>
        <w:br/>
        <w:t>• Tests: essentially absent in the audit.</w:t>
        <w:br/>
        <w:t>• Routing: named routes plus frequent direct Get.to().</w:t>
        <w:br/>
        <w:t>• User expects professional, production-oriented, controlled AI development.</w:t>
      </w:r>
    </w:p>
    <w:p>
      <w:r>
        <w:t>Guardrails</w:t>
        <w:br/>
        <w:t>No broad feature expansion before critical refactoring. No unverified source changes. No invented API facts. Preserve UI unless redesign requested. Keep documentation synchronized.</w:t>
      </w:r>
    </w:p>
    <w:p>
      <w:r>
        <w:t>Memory should contain durable engineering decisions, not temporary task notes.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