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27 DO NOT CHANGE</w:t>
      </w:r>
    </w:p>
    <w:p>
      <w:r>
        <w:t>Protected without explicit approval</w:t>
        <w:br/>
        <w:t>• Existing invoice/quotation calculations.</w:t>
        <w:br/>
        <w:t>• Authentication behavior.</w:t>
        <w:br/>
        <w:t>• Role-based navigation.</w:t>
        <w:br/>
        <w:t>• Approved screen layout/interactions.</w:t>
        <w:br/>
        <w:t>• PDF/business-document semantics.</w:t>
        <w:br/>
        <w:t>• GetX ecosystem.</w:t>
        <w:br/>
        <w:t>• Central ApiService.</w:t>
        <w:br/>
        <w:t>• Responsive shell concept.</w:t>
        <w:br/>
        <w:t>• Theme/localization foundations.</w:t>
        <w:br/>
        <w:t>• API endpoint paths and JSON keys.</w:t>
        <w:br/>
        <w:t>• Signing identifiers and production service configuration.</w:t>
      </w:r>
    </w:p>
    <w:p>
      <w:r>
        <w:t>Safe to refactor with verification</w:t>
        <w:br/>
        <w:t>Large widgets, repeated UI components, model/controller separation, repository/service boundaries, route definitions, tests and documentation.</w:t>
      </w:r>
    </w:p>
    <w:p>
      <w:r>
        <w:t>Golden rule</w:t>
        <w:br/>
        <w:t>If a change can alter customer-visible behavior, backend compatibility, stored data, authentication, invoice calculations or release configuration, verify before implementation.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