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F08" w:rsidRPr="00975EF0" w:rsidRDefault="00D86F08"/>
    <w:p w:rsidR="00EF7817" w:rsidRPr="00975EF0" w:rsidRDefault="00EF7817" w:rsidP="00EF7817">
      <w:pPr>
        <w:autoSpaceDE w:val="0"/>
        <w:autoSpaceDN w:val="0"/>
        <w:adjustRightInd w:val="0"/>
        <w:spacing w:after="0" w:line="240" w:lineRule="auto"/>
        <w:rPr>
          <w:rFonts w:cs="Arial"/>
          <w:b/>
          <w:bCs/>
          <w:color w:val="000000"/>
        </w:rPr>
      </w:pPr>
      <w:r w:rsidRPr="00975EF0">
        <w:rPr>
          <w:rFonts w:cs="Arial"/>
          <w:b/>
          <w:bCs/>
          <w:color w:val="000000"/>
        </w:rPr>
        <w:t>Shared workflow</w:t>
      </w:r>
    </w:p>
    <w:p w:rsidR="00EF7817" w:rsidRPr="00975EF0" w:rsidRDefault="00EF7817" w:rsidP="00EF7817">
      <w:pPr>
        <w:autoSpaceDE w:val="0"/>
        <w:autoSpaceDN w:val="0"/>
        <w:adjustRightInd w:val="0"/>
        <w:spacing w:after="0" w:line="240" w:lineRule="auto"/>
        <w:rPr>
          <w:rFonts w:cs="Times New Roman"/>
          <w:color w:val="000000"/>
        </w:rPr>
      </w:pPr>
      <w:r w:rsidRPr="00975EF0">
        <w:rPr>
          <w:rFonts w:cs="Times New Roman"/>
          <w:color w:val="000000"/>
        </w:rPr>
        <w:t>You can create workflow (active links, filters, and escalations) that can be attached to one or multiple forms. For example, you could create an employee information active link that would populate generic identification</w:t>
      </w:r>
      <w:r w:rsidR="00975EF0" w:rsidRPr="00975EF0">
        <w:rPr>
          <w:rFonts w:cs="Times New Roman"/>
          <w:color w:val="000000"/>
        </w:rPr>
        <w:t xml:space="preserve"> </w:t>
      </w:r>
      <w:r w:rsidRPr="00975EF0">
        <w:rPr>
          <w:rFonts w:cs="Times New Roman"/>
          <w:color w:val="000000"/>
        </w:rPr>
        <w:t>and address fields anytime a user enters a name, and use this on multiple</w:t>
      </w:r>
      <w:r w:rsidR="00485D59">
        <w:rPr>
          <w:rFonts w:cs="Times New Roman"/>
          <w:color w:val="000000"/>
        </w:rPr>
        <w:t xml:space="preserve"> f</w:t>
      </w:r>
      <w:bookmarkStart w:id="0" w:name="_GoBack"/>
      <w:bookmarkEnd w:id="0"/>
      <w:r w:rsidR="00485D59" w:rsidRPr="00975EF0">
        <w:rPr>
          <w:rFonts w:cs="Times New Roman"/>
          <w:color w:val="000000"/>
        </w:rPr>
        <w:t>orms</w:t>
      </w:r>
      <w:r w:rsidR="00975EF0" w:rsidRPr="00975EF0">
        <w:rPr>
          <w:rFonts w:cs="Times New Roman"/>
          <w:color w:val="000000"/>
        </w:rPr>
        <w:t>. Shared</w:t>
      </w:r>
      <w:r w:rsidRPr="00975EF0">
        <w:rPr>
          <w:rFonts w:cs="Times New Roman"/>
          <w:color w:val="000000"/>
        </w:rPr>
        <w:t xml:space="preserve"> workflow lets you efficiently build, maintain, and troubleshoot</w:t>
      </w:r>
      <w:r w:rsidR="00975EF0" w:rsidRPr="00975EF0">
        <w:rPr>
          <w:rFonts w:cs="Times New Roman"/>
          <w:color w:val="000000"/>
        </w:rPr>
        <w:t xml:space="preserve"> </w:t>
      </w:r>
      <w:r w:rsidRPr="00975EF0">
        <w:rPr>
          <w:rFonts w:cs="Times New Roman"/>
          <w:color w:val="000000"/>
        </w:rPr>
        <w:t>versions of forms and applications. Fewer workflow objects need to be stored</w:t>
      </w:r>
      <w:r w:rsidR="00975EF0" w:rsidRPr="00975EF0">
        <w:rPr>
          <w:rFonts w:cs="Times New Roman"/>
          <w:color w:val="000000"/>
        </w:rPr>
        <w:t xml:space="preserve"> </w:t>
      </w:r>
      <w:r w:rsidRPr="00975EF0">
        <w:rPr>
          <w:rFonts w:cs="Times New Roman"/>
          <w:color w:val="000000"/>
        </w:rPr>
        <w:t>on the server because any changes you make only need to be made once for</w:t>
      </w:r>
      <w:r w:rsidR="00975EF0" w:rsidRPr="00975EF0">
        <w:rPr>
          <w:rFonts w:cs="Times New Roman"/>
          <w:color w:val="000000"/>
        </w:rPr>
        <w:t xml:space="preserve"> </w:t>
      </w:r>
      <w:r w:rsidRPr="00975EF0">
        <w:rPr>
          <w:rFonts w:cs="Times New Roman"/>
          <w:color w:val="000000"/>
        </w:rPr>
        <w:t xml:space="preserve">all forms </w:t>
      </w:r>
      <w:r w:rsidR="00975EF0" w:rsidRPr="00975EF0">
        <w:rPr>
          <w:rFonts w:cs="Times New Roman"/>
          <w:color w:val="000000"/>
        </w:rPr>
        <w:t>that uses</w:t>
      </w:r>
      <w:r w:rsidRPr="00975EF0">
        <w:rPr>
          <w:rFonts w:cs="Times New Roman"/>
          <w:color w:val="000000"/>
        </w:rPr>
        <w:t xml:space="preserve"> the objects.</w:t>
      </w:r>
    </w:p>
    <w:p w:rsidR="00EF7817" w:rsidRPr="00975EF0" w:rsidRDefault="00EF7817" w:rsidP="00EF7817">
      <w:pPr>
        <w:autoSpaceDE w:val="0"/>
        <w:autoSpaceDN w:val="0"/>
        <w:adjustRightInd w:val="0"/>
        <w:spacing w:after="0" w:line="240" w:lineRule="auto"/>
        <w:rPr>
          <w:rFonts w:cs="Times New Roman"/>
          <w:color w:val="000000"/>
        </w:rPr>
      </w:pPr>
      <w:r w:rsidRPr="00975EF0">
        <w:rPr>
          <w:rFonts w:cs="Arial"/>
          <w:b/>
          <w:bCs/>
          <w:color w:val="A60000"/>
        </w:rPr>
        <w:t xml:space="preserve">WARNING: </w:t>
      </w:r>
      <w:r w:rsidRPr="00975EF0">
        <w:rPr>
          <w:rFonts w:cs="Times New Roman"/>
          <w:color w:val="000000"/>
        </w:rPr>
        <w:t>Sharing active links and active link guides among forms in</w:t>
      </w:r>
      <w:r w:rsidR="00975EF0" w:rsidRPr="00975EF0">
        <w:rPr>
          <w:rFonts w:cs="Times New Roman"/>
          <w:color w:val="000000"/>
        </w:rPr>
        <w:t xml:space="preserve"> </w:t>
      </w:r>
      <w:r w:rsidRPr="00975EF0">
        <w:rPr>
          <w:rFonts w:cs="Times New Roman"/>
          <w:color w:val="000000"/>
        </w:rPr>
        <w:t>different deployable applications requires caution. Role permissions are</w:t>
      </w:r>
      <w:r w:rsidR="00975EF0" w:rsidRPr="00975EF0">
        <w:rPr>
          <w:rFonts w:cs="Times New Roman"/>
          <w:color w:val="000000"/>
        </w:rPr>
        <w:t xml:space="preserve"> </w:t>
      </w:r>
      <w:r w:rsidRPr="00975EF0">
        <w:rPr>
          <w:rFonts w:cs="Times New Roman"/>
          <w:color w:val="000000"/>
        </w:rPr>
        <w:t>resolved based on which application has ownership. The owner</w:t>
      </w:r>
      <w:r w:rsidR="00975EF0" w:rsidRPr="00975EF0">
        <w:rPr>
          <w:rFonts w:cs="Times New Roman"/>
          <w:color w:val="000000"/>
        </w:rPr>
        <w:t xml:space="preserve"> </w:t>
      </w:r>
      <w:r w:rsidRPr="00975EF0">
        <w:rPr>
          <w:rFonts w:cs="Times New Roman"/>
          <w:color w:val="000000"/>
        </w:rPr>
        <w:t>application contains the form that is the primary or reference form in the</w:t>
      </w:r>
      <w:r w:rsidR="00975EF0" w:rsidRPr="00975EF0">
        <w:rPr>
          <w:rFonts w:cs="Times New Roman"/>
          <w:color w:val="000000"/>
        </w:rPr>
        <w:t xml:space="preserve"> </w:t>
      </w:r>
      <w:r w:rsidRPr="00975EF0">
        <w:rPr>
          <w:rFonts w:cs="Times New Roman"/>
          <w:color w:val="000000"/>
        </w:rPr>
        <w:t>active link or active link guide. The non-owner application might have</w:t>
      </w:r>
      <w:r w:rsidR="00975EF0" w:rsidRPr="00975EF0">
        <w:rPr>
          <w:rFonts w:cs="Times New Roman"/>
          <w:color w:val="000000"/>
        </w:rPr>
        <w:t xml:space="preserve"> </w:t>
      </w:r>
      <w:r w:rsidRPr="00975EF0">
        <w:rPr>
          <w:rFonts w:cs="Times New Roman"/>
          <w:color w:val="000000"/>
        </w:rPr>
        <w:t>identical roles mapped to different groups, but these mappings are</w:t>
      </w:r>
    </w:p>
    <w:p w:rsidR="00EF7817" w:rsidRPr="00975EF0" w:rsidRDefault="00975EF0" w:rsidP="00EF7817">
      <w:pPr>
        <w:autoSpaceDE w:val="0"/>
        <w:autoSpaceDN w:val="0"/>
        <w:adjustRightInd w:val="0"/>
        <w:spacing w:after="0" w:line="240" w:lineRule="auto"/>
        <w:rPr>
          <w:rFonts w:cs="Times New Roman"/>
          <w:color w:val="000000"/>
        </w:rPr>
      </w:pPr>
      <w:r w:rsidRPr="00975EF0">
        <w:rPr>
          <w:rFonts w:cs="Times New Roman"/>
          <w:color w:val="000000"/>
        </w:rPr>
        <w:t>Ignored</w:t>
      </w:r>
      <w:r w:rsidR="00EF7817" w:rsidRPr="00975EF0">
        <w:rPr>
          <w:rFonts w:cs="Times New Roman"/>
          <w:color w:val="000000"/>
        </w:rPr>
        <w:t>. If only implicit groups have permission (no role permissions),</w:t>
      </w:r>
      <w:r w:rsidRPr="00975EF0">
        <w:rPr>
          <w:rFonts w:cs="Times New Roman"/>
          <w:color w:val="000000"/>
        </w:rPr>
        <w:t xml:space="preserve"> </w:t>
      </w:r>
      <w:r w:rsidR="00EF7817" w:rsidRPr="00975EF0">
        <w:rPr>
          <w:rFonts w:cs="Times New Roman"/>
          <w:color w:val="000000"/>
        </w:rPr>
        <w:t xml:space="preserve">there are no conflicts. For more information, see the </w:t>
      </w:r>
      <w:r w:rsidR="00EF7817" w:rsidRPr="00975EF0">
        <w:rPr>
          <w:rFonts w:cs="Times New Roman"/>
          <w:i/>
          <w:iCs/>
          <w:color w:val="000000"/>
        </w:rPr>
        <w:t>Form and Application</w:t>
      </w:r>
      <w:r w:rsidRPr="00975EF0">
        <w:rPr>
          <w:rFonts w:cs="Times New Roman"/>
          <w:color w:val="000000"/>
        </w:rPr>
        <w:t xml:space="preserve"> </w:t>
      </w:r>
      <w:r w:rsidR="00EF7817" w:rsidRPr="00975EF0">
        <w:rPr>
          <w:rFonts w:cs="Times New Roman"/>
          <w:i/>
          <w:iCs/>
          <w:color w:val="000000"/>
        </w:rPr>
        <w:t xml:space="preserve">Objects </w:t>
      </w:r>
      <w:r w:rsidR="00EF7817" w:rsidRPr="00975EF0">
        <w:rPr>
          <w:rFonts w:cs="Times New Roman"/>
          <w:color w:val="000000"/>
        </w:rPr>
        <w:t>guide.</w:t>
      </w:r>
      <w:r w:rsidRPr="00975EF0">
        <w:rPr>
          <w:rFonts w:cs="Times New Roman"/>
          <w:color w:val="000000"/>
        </w:rPr>
        <w:t xml:space="preserve"> </w:t>
      </w:r>
      <w:r w:rsidR="00EF7817" w:rsidRPr="00975EF0">
        <w:rPr>
          <w:rFonts w:cs="Times New Roman"/>
          <w:color w:val="000000"/>
        </w:rPr>
        <w:t>The way you define shared active links, filters, or escalations is similar to the</w:t>
      </w:r>
      <w:r w:rsidRPr="00975EF0">
        <w:rPr>
          <w:rFonts w:cs="Times New Roman"/>
          <w:color w:val="000000"/>
        </w:rPr>
        <w:t xml:space="preserve"> </w:t>
      </w:r>
      <w:r w:rsidR="00EF7817" w:rsidRPr="00975EF0">
        <w:rPr>
          <w:rFonts w:cs="Times New Roman"/>
          <w:color w:val="000000"/>
        </w:rPr>
        <w:t>way you define workflow for an individual form. The main difference is that</w:t>
      </w:r>
      <w:r w:rsidRPr="00975EF0">
        <w:rPr>
          <w:rFonts w:cs="Times New Roman"/>
          <w:color w:val="000000"/>
        </w:rPr>
        <w:t xml:space="preserve"> </w:t>
      </w:r>
      <w:r w:rsidR="00EF7817" w:rsidRPr="00975EF0">
        <w:rPr>
          <w:rFonts w:cs="Times New Roman"/>
          <w:color w:val="000000"/>
        </w:rPr>
        <w:t>instead of attaching the workflow to one form, you attach it to multiple</w:t>
      </w:r>
      <w:r w:rsidRPr="00975EF0">
        <w:rPr>
          <w:rFonts w:cs="Times New Roman"/>
          <w:color w:val="000000"/>
        </w:rPr>
        <w:t xml:space="preserve"> </w:t>
      </w:r>
      <w:r w:rsidR="00EF7817" w:rsidRPr="00975EF0">
        <w:rPr>
          <w:rFonts w:cs="Times New Roman"/>
          <w:color w:val="000000"/>
        </w:rPr>
        <w:t>forms. If you do not want the workflow to be shared, select only one form.</w:t>
      </w:r>
      <w:r w:rsidRPr="00975EF0">
        <w:rPr>
          <w:rFonts w:cs="Times New Roman"/>
          <w:color w:val="000000"/>
        </w:rPr>
        <w:t xml:space="preserve"> </w:t>
      </w:r>
      <w:r w:rsidR="00EF7817" w:rsidRPr="00975EF0">
        <w:rPr>
          <w:rFonts w:cs="Times New Roman"/>
          <w:color w:val="000000"/>
        </w:rPr>
        <w:t>See “Defining workflow basics” on page 26 for instructions on creating</w:t>
      </w:r>
      <w:r w:rsidRPr="00975EF0">
        <w:rPr>
          <w:rFonts w:cs="Times New Roman"/>
          <w:color w:val="000000"/>
        </w:rPr>
        <w:t xml:space="preserve"> </w:t>
      </w:r>
      <w:r w:rsidR="00EF7817" w:rsidRPr="00975EF0">
        <w:rPr>
          <w:rFonts w:cs="Times New Roman"/>
          <w:color w:val="000000"/>
        </w:rPr>
        <w:t>workflow.</w:t>
      </w:r>
      <w:r w:rsidRPr="00975EF0">
        <w:rPr>
          <w:rFonts w:cs="Times New Roman"/>
          <w:color w:val="000000"/>
        </w:rPr>
        <w:t xml:space="preserve"> </w:t>
      </w:r>
      <w:r w:rsidR="00EF7817" w:rsidRPr="00975EF0">
        <w:rPr>
          <w:rFonts w:cs="Times New Roman"/>
          <w:color w:val="000000"/>
        </w:rPr>
        <w:t>Workflow actions interact with fields based on field ID (not the field name)</w:t>
      </w:r>
      <w:r w:rsidRPr="00975EF0">
        <w:rPr>
          <w:rFonts w:cs="Times New Roman"/>
          <w:color w:val="000000"/>
        </w:rPr>
        <w:t xml:space="preserve"> </w:t>
      </w:r>
      <w:r w:rsidR="00EF7817" w:rsidRPr="00975EF0">
        <w:rPr>
          <w:rFonts w:cs="Times New Roman"/>
          <w:color w:val="000000"/>
        </w:rPr>
        <w:t>on each of the forms to which the field ID is attached.</w:t>
      </w:r>
      <w:r w:rsidRPr="00975EF0">
        <w:rPr>
          <w:rFonts w:cs="Times New Roman"/>
          <w:color w:val="000000"/>
        </w:rPr>
        <w:t xml:space="preserve"> </w:t>
      </w:r>
      <w:r w:rsidR="00EF7817" w:rsidRPr="00975EF0">
        <w:rPr>
          <w:rFonts w:cs="Times New Roman"/>
          <w:color w:val="000000"/>
        </w:rPr>
        <w:t>Because shared workflow uses any valid field ID, plan how you want to use</w:t>
      </w:r>
      <w:r w:rsidRPr="00975EF0">
        <w:rPr>
          <w:rFonts w:cs="Times New Roman"/>
          <w:color w:val="000000"/>
        </w:rPr>
        <w:t xml:space="preserve"> </w:t>
      </w:r>
      <w:r w:rsidR="00EF7817" w:rsidRPr="00975EF0">
        <w:rPr>
          <w:rFonts w:cs="Times New Roman"/>
          <w:color w:val="000000"/>
        </w:rPr>
        <w:t>shared workflow before attaching it to multiple forms. Multiple forms that</w:t>
      </w:r>
      <w:r w:rsidRPr="00975EF0">
        <w:rPr>
          <w:rFonts w:cs="Times New Roman"/>
          <w:color w:val="000000"/>
        </w:rPr>
        <w:t xml:space="preserve"> </w:t>
      </w:r>
      <w:r w:rsidR="00EF7817" w:rsidRPr="00975EF0">
        <w:rPr>
          <w:rFonts w:cs="Times New Roman"/>
          <w:color w:val="000000"/>
        </w:rPr>
        <w:t>share workflow can show different field names for fields with the same ID. To</w:t>
      </w:r>
      <w:r w:rsidRPr="00975EF0">
        <w:rPr>
          <w:rFonts w:cs="Times New Roman"/>
          <w:color w:val="000000"/>
        </w:rPr>
        <w:t xml:space="preserve"> </w:t>
      </w:r>
      <w:r w:rsidR="00EF7817" w:rsidRPr="00975EF0">
        <w:rPr>
          <w:rFonts w:cs="Times New Roman"/>
          <w:color w:val="000000"/>
        </w:rPr>
        <w:t>make it easier to administer shared workflow, create fields with the same ID</w:t>
      </w:r>
      <w:r w:rsidRPr="00975EF0">
        <w:rPr>
          <w:rFonts w:cs="Times New Roman"/>
          <w:color w:val="000000"/>
        </w:rPr>
        <w:t xml:space="preserve"> </w:t>
      </w:r>
      <w:r w:rsidR="00EF7817" w:rsidRPr="00975EF0">
        <w:rPr>
          <w:rFonts w:cs="Times New Roman"/>
          <w:i/>
          <w:iCs/>
          <w:color w:val="000000"/>
        </w:rPr>
        <w:t xml:space="preserve">and </w:t>
      </w:r>
      <w:r w:rsidR="00EF7817" w:rsidRPr="00975EF0">
        <w:rPr>
          <w:rFonts w:cs="Times New Roman"/>
          <w:color w:val="000000"/>
        </w:rPr>
        <w:t>the same field name on each form to help you remember the purpose of</w:t>
      </w:r>
      <w:r w:rsidRPr="00975EF0">
        <w:rPr>
          <w:rFonts w:cs="Times New Roman"/>
          <w:color w:val="000000"/>
        </w:rPr>
        <w:t xml:space="preserve"> </w:t>
      </w:r>
      <w:r w:rsidR="00EF7817" w:rsidRPr="00975EF0">
        <w:rPr>
          <w:rFonts w:cs="Times New Roman"/>
          <w:color w:val="000000"/>
        </w:rPr>
        <w:t>the field. Otherwise, the workflow might not fire, or the shared workflow</w:t>
      </w:r>
    </w:p>
    <w:p w:rsidR="00EF7817" w:rsidRPr="00975EF0" w:rsidRDefault="00485D59" w:rsidP="00EF7817">
      <w:pPr>
        <w:autoSpaceDE w:val="0"/>
        <w:autoSpaceDN w:val="0"/>
        <w:adjustRightInd w:val="0"/>
        <w:spacing w:after="0" w:line="240" w:lineRule="auto"/>
        <w:rPr>
          <w:rFonts w:cs="Times New Roman"/>
          <w:color w:val="000000"/>
        </w:rPr>
      </w:pPr>
      <w:r w:rsidRPr="00975EF0">
        <w:rPr>
          <w:rFonts w:cs="Times New Roman"/>
          <w:color w:val="000000"/>
        </w:rPr>
        <w:t>Actions</w:t>
      </w:r>
      <w:r w:rsidR="00EF7817" w:rsidRPr="00975EF0">
        <w:rPr>
          <w:rFonts w:cs="Times New Roman"/>
          <w:color w:val="000000"/>
        </w:rPr>
        <w:t xml:space="preserve"> will still be triggered but might not use the expected field. In either</w:t>
      </w:r>
      <w:r w:rsidR="00975EF0" w:rsidRPr="00975EF0">
        <w:rPr>
          <w:rFonts w:cs="Times New Roman"/>
          <w:color w:val="000000"/>
        </w:rPr>
        <w:t xml:space="preserve"> </w:t>
      </w:r>
      <w:r w:rsidR="00EF7817" w:rsidRPr="00975EF0">
        <w:rPr>
          <w:rFonts w:cs="Times New Roman"/>
          <w:color w:val="000000"/>
        </w:rPr>
        <w:t>case, the action you expect to happen—because you have connected the</w:t>
      </w:r>
      <w:r w:rsidR="00975EF0" w:rsidRPr="00975EF0">
        <w:rPr>
          <w:rFonts w:cs="Times New Roman"/>
          <w:color w:val="000000"/>
        </w:rPr>
        <w:t xml:space="preserve"> </w:t>
      </w:r>
      <w:r w:rsidR="00EF7817" w:rsidRPr="00975EF0">
        <w:rPr>
          <w:rFonts w:cs="Times New Roman"/>
          <w:color w:val="000000"/>
        </w:rPr>
        <w:t>workflow to a non-existing field or the wrong field—will have no effect</w:t>
      </w:r>
      <w:r w:rsidR="00975EF0" w:rsidRPr="00975EF0">
        <w:rPr>
          <w:rFonts w:cs="Times New Roman"/>
          <w:color w:val="000000"/>
        </w:rPr>
        <w:t xml:space="preserve"> </w:t>
      </w:r>
      <w:r w:rsidR="00EF7817" w:rsidRPr="00975EF0">
        <w:rPr>
          <w:rFonts w:cs="Times New Roman"/>
          <w:color w:val="000000"/>
        </w:rPr>
        <w:t>(depending upon the workflow).</w:t>
      </w:r>
      <w:r w:rsidR="00975EF0" w:rsidRPr="00975EF0">
        <w:rPr>
          <w:rFonts w:cs="Times New Roman"/>
          <w:color w:val="000000"/>
        </w:rPr>
        <w:t xml:space="preserve"> </w:t>
      </w:r>
      <w:r w:rsidR="00EF7817" w:rsidRPr="00975EF0">
        <w:rPr>
          <w:rFonts w:cs="Times New Roman"/>
          <w:color w:val="000000"/>
        </w:rPr>
        <w:t>Finally, if fields have matching IDs but are different data types, AR System</w:t>
      </w:r>
      <w:r w:rsidR="00975EF0" w:rsidRPr="00975EF0">
        <w:rPr>
          <w:rFonts w:cs="Times New Roman"/>
          <w:color w:val="000000"/>
        </w:rPr>
        <w:t xml:space="preserve"> </w:t>
      </w:r>
      <w:r w:rsidR="00EF7817" w:rsidRPr="00975EF0">
        <w:rPr>
          <w:rFonts w:cs="Times New Roman"/>
          <w:color w:val="000000"/>
        </w:rPr>
        <w:t>will convert them appropriately.</w:t>
      </w:r>
      <w:r w:rsidR="00975EF0" w:rsidRPr="00975EF0">
        <w:rPr>
          <w:rFonts w:cs="Times New Roman"/>
          <w:color w:val="000000"/>
        </w:rPr>
        <w:t xml:space="preserve"> </w:t>
      </w:r>
      <w:r w:rsidR="00EF7817" w:rsidRPr="00975EF0">
        <w:rPr>
          <w:rFonts w:cs="Times New Roman"/>
          <w:color w:val="000000"/>
        </w:rPr>
        <w:t>After you have created a form with which you want to share workflow, you</w:t>
      </w:r>
      <w:r w:rsidR="00975EF0" w:rsidRPr="00975EF0">
        <w:rPr>
          <w:rFonts w:cs="Times New Roman"/>
          <w:color w:val="000000"/>
        </w:rPr>
        <w:t xml:space="preserve"> </w:t>
      </w:r>
      <w:r w:rsidR="00EF7817" w:rsidRPr="00975EF0">
        <w:rPr>
          <w:rFonts w:cs="Times New Roman"/>
          <w:color w:val="000000"/>
        </w:rPr>
        <w:t>can:</w:t>
      </w:r>
    </w:p>
    <w:p w:rsidR="00EF7817" w:rsidRPr="00975EF0" w:rsidRDefault="00EF7817" w:rsidP="00EF7817">
      <w:pPr>
        <w:autoSpaceDE w:val="0"/>
        <w:autoSpaceDN w:val="0"/>
        <w:adjustRightInd w:val="0"/>
        <w:spacing w:after="0" w:line="240" w:lineRule="auto"/>
        <w:rPr>
          <w:rFonts w:cs="Times New Roman"/>
          <w:color w:val="000000"/>
        </w:rPr>
      </w:pPr>
      <w:r w:rsidRPr="00975EF0">
        <w:rPr>
          <w:rFonts w:cs="T6"/>
          <w:color w:val="0066B3"/>
        </w:rPr>
        <w:t xml:space="preserve">_ </w:t>
      </w:r>
      <w:r w:rsidRPr="00975EF0">
        <w:rPr>
          <w:rFonts w:cs="Times New Roman"/>
          <w:color w:val="000000"/>
        </w:rPr>
        <w:t>Create a new workflow object and then attach it to forms.</w:t>
      </w:r>
    </w:p>
    <w:p w:rsidR="00EF7817" w:rsidRPr="00975EF0" w:rsidRDefault="00EF7817" w:rsidP="00EF7817">
      <w:pPr>
        <w:rPr>
          <w:rFonts w:cs="Times New Roman"/>
          <w:color w:val="000000"/>
        </w:rPr>
      </w:pPr>
      <w:r w:rsidRPr="00975EF0">
        <w:rPr>
          <w:rFonts w:cs="T6"/>
          <w:color w:val="0066B3"/>
        </w:rPr>
        <w:t xml:space="preserve">_ </w:t>
      </w:r>
      <w:r w:rsidRPr="00975EF0">
        <w:rPr>
          <w:rFonts w:cs="Times New Roman"/>
          <w:color w:val="000000"/>
        </w:rPr>
        <w:t>Select an existing workflow object and then attach it to forms.</w:t>
      </w:r>
    </w:p>
    <w:p w:rsidR="00EF7817" w:rsidRPr="00975EF0" w:rsidRDefault="00EF7817" w:rsidP="00975EF0">
      <w:pPr>
        <w:autoSpaceDE w:val="0"/>
        <w:autoSpaceDN w:val="0"/>
        <w:adjustRightInd w:val="0"/>
        <w:spacing w:after="0" w:line="240" w:lineRule="auto"/>
        <w:rPr>
          <w:rFonts w:cs="Times New Roman"/>
          <w:color w:val="000000"/>
        </w:rPr>
      </w:pPr>
      <w:r w:rsidRPr="00975EF0">
        <w:rPr>
          <w:rFonts w:cs="Arial"/>
          <w:b/>
          <w:bCs/>
          <w:color w:val="A60000"/>
        </w:rPr>
        <w:t xml:space="preserve">WARNING: </w:t>
      </w:r>
      <w:r w:rsidRPr="00975EF0">
        <w:rPr>
          <w:rFonts w:cs="Times New Roman"/>
          <w:color w:val="000000"/>
        </w:rPr>
        <w:t>When you create a copy of a field to put on another form, the new</w:t>
      </w:r>
      <w:r w:rsidR="00975EF0" w:rsidRPr="00975EF0">
        <w:rPr>
          <w:rFonts w:cs="Times New Roman"/>
          <w:color w:val="000000"/>
        </w:rPr>
        <w:t xml:space="preserve"> </w:t>
      </w:r>
      <w:r w:rsidRPr="00975EF0">
        <w:rPr>
          <w:rFonts w:cs="Times New Roman"/>
          <w:color w:val="000000"/>
        </w:rPr>
        <w:t>field retains all of the properties of the original field including the field ID.</w:t>
      </w:r>
      <w:r w:rsidR="00975EF0" w:rsidRPr="00975EF0">
        <w:rPr>
          <w:rFonts w:cs="Times New Roman"/>
          <w:color w:val="000000"/>
        </w:rPr>
        <w:t xml:space="preserve"> </w:t>
      </w:r>
      <w:r w:rsidRPr="00975EF0">
        <w:rPr>
          <w:rFonts w:cs="Times New Roman"/>
          <w:color w:val="000000"/>
        </w:rPr>
        <w:t>Use caution when using different field names that share the same field ID</w:t>
      </w:r>
      <w:r w:rsidR="00975EF0" w:rsidRPr="00975EF0">
        <w:rPr>
          <w:rFonts w:cs="Times New Roman"/>
          <w:color w:val="000000"/>
        </w:rPr>
        <w:t xml:space="preserve"> </w:t>
      </w:r>
      <w:r w:rsidRPr="00975EF0">
        <w:rPr>
          <w:rFonts w:cs="Times New Roman"/>
          <w:color w:val="000000"/>
        </w:rPr>
        <w:t>since shared workflow uses the field ID to trigger actions.</w:t>
      </w:r>
      <w:r w:rsidR="00975EF0" w:rsidRPr="00975EF0">
        <w:rPr>
          <w:rFonts w:cs="Times New Roman"/>
          <w:color w:val="000000"/>
        </w:rPr>
        <w:t xml:space="preserve"> When exporting </w:t>
      </w:r>
      <w:r w:rsidRPr="00975EF0">
        <w:rPr>
          <w:rFonts w:cs="Times New Roman"/>
          <w:color w:val="000000"/>
        </w:rPr>
        <w:t>definitions, you can choose whether to maintain an</w:t>
      </w:r>
      <w:r w:rsidR="00975EF0" w:rsidRPr="00975EF0">
        <w:rPr>
          <w:rFonts w:cs="Times New Roman"/>
          <w:color w:val="000000"/>
        </w:rPr>
        <w:t xml:space="preserve"> </w:t>
      </w:r>
      <w:r w:rsidRPr="00975EF0">
        <w:rPr>
          <w:rFonts w:cs="Times New Roman"/>
          <w:color w:val="000000"/>
        </w:rPr>
        <w:t xml:space="preserve">association between the selected workflow and all related forms. See the </w:t>
      </w:r>
      <w:r w:rsidRPr="00975EF0">
        <w:rPr>
          <w:rFonts w:cs="Times New Roman"/>
          <w:i/>
          <w:iCs/>
          <w:color w:val="000000"/>
        </w:rPr>
        <w:t>Form</w:t>
      </w:r>
      <w:r w:rsidR="00975EF0" w:rsidRPr="00975EF0">
        <w:rPr>
          <w:rFonts w:cs="Times New Roman"/>
          <w:color w:val="000000"/>
        </w:rPr>
        <w:t xml:space="preserve"> </w:t>
      </w:r>
      <w:r w:rsidRPr="00975EF0">
        <w:rPr>
          <w:rFonts w:cs="Times New Roman"/>
          <w:i/>
          <w:iCs/>
          <w:color w:val="000000"/>
        </w:rPr>
        <w:t xml:space="preserve">and Application Objects </w:t>
      </w:r>
      <w:r w:rsidRPr="00975EF0">
        <w:rPr>
          <w:rFonts w:cs="Times New Roman"/>
          <w:color w:val="000000"/>
        </w:rPr>
        <w:t>guide for more information.</w:t>
      </w:r>
      <w:r w:rsidR="00975EF0" w:rsidRPr="00975EF0">
        <w:rPr>
          <w:rFonts w:cs="Times New Roman"/>
          <w:color w:val="000000"/>
        </w:rPr>
        <w:t xml:space="preserve"> </w:t>
      </w:r>
      <w:r w:rsidRPr="00975EF0">
        <w:rPr>
          <w:rFonts w:cs="Times New Roman"/>
          <w:color w:val="000000"/>
        </w:rPr>
        <w:t>When you delete a form that uses non-shared workflow, the workflow is</w:t>
      </w:r>
      <w:r w:rsidR="00975EF0" w:rsidRPr="00975EF0">
        <w:rPr>
          <w:rFonts w:cs="Times New Roman"/>
          <w:color w:val="000000"/>
        </w:rPr>
        <w:t xml:space="preserve"> </w:t>
      </w:r>
      <w:r w:rsidRPr="00975EF0">
        <w:rPr>
          <w:rFonts w:cs="Times New Roman"/>
          <w:color w:val="000000"/>
        </w:rPr>
        <w:t>deleted along with the form. However, if workflow is shared by multiple</w:t>
      </w:r>
      <w:r w:rsidR="00975EF0" w:rsidRPr="00975EF0">
        <w:rPr>
          <w:rFonts w:cs="Times New Roman"/>
          <w:color w:val="000000"/>
        </w:rPr>
        <w:t xml:space="preserve"> </w:t>
      </w:r>
      <w:r w:rsidRPr="00975EF0">
        <w:rPr>
          <w:rFonts w:cs="Times New Roman"/>
          <w:color w:val="000000"/>
        </w:rPr>
        <w:t>forms, it will not be deleted until the last form that uses it is deleted.</w:t>
      </w:r>
    </w:p>
    <w:p w:rsidR="00975EF0" w:rsidRPr="00975EF0" w:rsidRDefault="00975EF0" w:rsidP="00975EF0">
      <w:pPr>
        <w:autoSpaceDE w:val="0"/>
        <w:autoSpaceDN w:val="0"/>
        <w:adjustRightInd w:val="0"/>
        <w:spacing w:after="0" w:line="240" w:lineRule="auto"/>
        <w:rPr>
          <w:rFonts w:cs="Times New Roman"/>
          <w:color w:val="000000"/>
        </w:rPr>
      </w:pPr>
    </w:p>
    <w:p w:rsidR="00EF7817" w:rsidRPr="00975EF0" w:rsidRDefault="00EF7817" w:rsidP="00EF7817">
      <w:pPr>
        <w:autoSpaceDE w:val="0"/>
        <w:autoSpaceDN w:val="0"/>
        <w:adjustRightInd w:val="0"/>
        <w:spacing w:after="0" w:line="240" w:lineRule="auto"/>
        <w:rPr>
          <w:rFonts w:cs="Arial"/>
          <w:b/>
          <w:bCs/>
          <w:color w:val="0066B3"/>
        </w:rPr>
      </w:pPr>
      <w:r w:rsidRPr="00975EF0">
        <w:rPr>
          <w:rFonts w:cs="Arial"/>
          <w:b/>
          <w:bCs/>
          <w:color w:val="0066B3"/>
        </w:rPr>
        <w:t>Sample uses of shared workflow</w:t>
      </w:r>
    </w:p>
    <w:p w:rsidR="00EF7817" w:rsidRPr="00975EF0" w:rsidRDefault="00EF7817" w:rsidP="00EF7817">
      <w:pPr>
        <w:autoSpaceDE w:val="0"/>
        <w:autoSpaceDN w:val="0"/>
        <w:adjustRightInd w:val="0"/>
        <w:spacing w:after="0" w:line="240" w:lineRule="auto"/>
        <w:rPr>
          <w:rFonts w:cs="Times New Roman"/>
          <w:color w:val="000000"/>
        </w:rPr>
      </w:pPr>
      <w:r w:rsidRPr="00975EF0">
        <w:rPr>
          <w:rFonts w:cs="Times New Roman"/>
          <w:color w:val="000000"/>
        </w:rPr>
        <w:t>Possible ways to use shared workflow include:</w:t>
      </w:r>
    </w:p>
    <w:p w:rsidR="00EF7817" w:rsidRPr="00975EF0" w:rsidRDefault="00EF7817" w:rsidP="00EF7817">
      <w:pPr>
        <w:autoSpaceDE w:val="0"/>
        <w:autoSpaceDN w:val="0"/>
        <w:adjustRightInd w:val="0"/>
        <w:spacing w:after="0" w:line="240" w:lineRule="auto"/>
        <w:rPr>
          <w:rFonts w:cs="Times New Roman"/>
          <w:color w:val="000000"/>
        </w:rPr>
      </w:pPr>
      <w:r w:rsidRPr="00975EF0">
        <w:rPr>
          <w:rFonts w:cs="T6"/>
          <w:color w:val="0066B3"/>
        </w:rPr>
        <w:t xml:space="preserve">_ </w:t>
      </w:r>
      <w:r w:rsidRPr="00975EF0">
        <w:rPr>
          <w:rFonts w:cs="Times New Roman"/>
          <w:color w:val="000000"/>
        </w:rPr>
        <w:t>Populating common fields used to store employee data.</w:t>
      </w:r>
    </w:p>
    <w:p w:rsidR="00EF7817" w:rsidRPr="00975EF0" w:rsidRDefault="00EF7817" w:rsidP="00EF7817">
      <w:pPr>
        <w:autoSpaceDE w:val="0"/>
        <w:autoSpaceDN w:val="0"/>
        <w:adjustRightInd w:val="0"/>
        <w:spacing w:after="0" w:line="240" w:lineRule="auto"/>
        <w:rPr>
          <w:rFonts w:cs="Times New Roman"/>
          <w:color w:val="000000"/>
        </w:rPr>
      </w:pPr>
      <w:r w:rsidRPr="00975EF0">
        <w:rPr>
          <w:rFonts w:cs="T6"/>
          <w:color w:val="0066B3"/>
        </w:rPr>
        <w:t xml:space="preserve">_ </w:t>
      </w:r>
      <w:r w:rsidRPr="00975EF0">
        <w:rPr>
          <w:rFonts w:cs="Times New Roman"/>
          <w:color w:val="000000"/>
        </w:rPr>
        <w:t>Automatically assigning cases (based on tasks and applications).</w:t>
      </w:r>
    </w:p>
    <w:p w:rsidR="00EF7817" w:rsidRPr="00975EF0" w:rsidRDefault="00EF7817" w:rsidP="00EF7817">
      <w:pPr>
        <w:autoSpaceDE w:val="0"/>
        <w:autoSpaceDN w:val="0"/>
        <w:adjustRightInd w:val="0"/>
        <w:spacing w:after="0" w:line="240" w:lineRule="auto"/>
        <w:rPr>
          <w:rFonts w:cs="Times New Roman"/>
          <w:color w:val="000000"/>
        </w:rPr>
      </w:pPr>
      <w:r w:rsidRPr="00975EF0">
        <w:rPr>
          <w:rFonts w:cs="T6"/>
          <w:color w:val="0066B3"/>
        </w:rPr>
        <w:t xml:space="preserve">_ </w:t>
      </w:r>
      <w:r w:rsidRPr="00975EF0">
        <w:rPr>
          <w:rFonts w:cs="Times New Roman"/>
          <w:color w:val="000000"/>
        </w:rPr>
        <w:t>Accessing common forms such as bulletin boards, reporting, preferences,</w:t>
      </w:r>
    </w:p>
    <w:p w:rsidR="00EF7817" w:rsidRPr="00975EF0" w:rsidRDefault="00EF7817" w:rsidP="00EF7817">
      <w:pPr>
        <w:autoSpaceDE w:val="0"/>
        <w:autoSpaceDN w:val="0"/>
        <w:adjustRightInd w:val="0"/>
        <w:spacing w:after="0" w:line="240" w:lineRule="auto"/>
        <w:rPr>
          <w:rFonts w:cs="Times New Roman"/>
          <w:color w:val="000000"/>
        </w:rPr>
      </w:pPr>
      <w:r w:rsidRPr="00975EF0">
        <w:rPr>
          <w:rFonts w:cs="Times New Roman"/>
          <w:color w:val="000000"/>
        </w:rPr>
        <w:t>reminders, and so on.</w:t>
      </w:r>
    </w:p>
    <w:p w:rsidR="00EF7817" w:rsidRPr="00975EF0" w:rsidRDefault="00EF7817" w:rsidP="00EF7817">
      <w:pPr>
        <w:autoSpaceDE w:val="0"/>
        <w:autoSpaceDN w:val="0"/>
        <w:adjustRightInd w:val="0"/>
        <w:spacing w:after="0" w:line="240" w:lineRule="auto"/>
        <w:rPr>
          <w:rFonts w:cs="Times New Roman"/>
          <w:color w:val="000000"/>
        </w:rPr>
      </w:pPr>
      <w:r w:rsidRPr="00975EF0">
        <w:rPr>
          <w:rFonts w:cs="T6"/>
          <w:color w:val="0066B3"/>
        </w:rPr>
        <w:lastRenderedPageBreak/>
        <w:t xml:space="preserve">_ </w:t>
      </w:r>
      <w:r w:rsidRPr="00975EF0">
        <w:rPr>
          <w:rFonts w:cs="Times New Roman"/>
          <w:color w:val="000000"/>
        </w:rPr>
        <w:t>Navigating, for example, in a configuration tool.</w:t>
      </w:r>
    </w:p>
    <w:p w:rsidR="00EF7817" w:rsidRPr="00975EF0" w:rsidRDefault="00EF7817" w:rsidP="00EF7817">
      <w:pPr>
        <w:autoSpaceDE w:val="0"/>
        <w:autoSpaceDN w:val="0"/>
        <w:adjustRightInd w:val="0"/>
        <w:spacing w:after="0" w:line="240" w:lineRule="auto"/>
        <w:rPr>
          <w:rFonts w:cs="Times New Roman"/>
          <w:color w:val="000000"/>
        </w:rPr>
      </w:pPr>
      <w:r w:rsidRPr="00975EF0">
        <w:rPr>
          <w:rFonts w:cs="T6"/>
          <w:color w:val="0066B3"/>
        </w:rPr>
        <w:t xml:space="preserve">_ </w:t>
      </w:r>
      <w:r w:rsidRPr="00975EF0">
        <w:rPr>
          <w:rFonts w:cs="Times New Roman"/>
          <w:color w:val="000000"/>
        </w:rPr>
        <w:t>Displaying a message or warning dialog box that appears whenever a user</w:t>
      </w:r>
    </w:p>
    <w:p w:rsidR="00EF7817" w:rsidRPr="00975EF0" w:rsidRDefault="00EF7817" w:rsidP="00EF7817">
      <w:r w:rsidRPr="00975EF0">
        <w:rPr>
          <w:rFonts w:cs="Times New Roman"/>
          <w:color w:val="000000"/>
        </w:rPr>
        <w:t>submits a form or enters invalid information.</w:t>
      </w:r>
    </w:p>
    <w:sectPr w:rsidR="00EF7817" w:rsidRPr="00975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6">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817"/>
    <w:rsid w:val="00485D59"/>
    <w:rsid w:val="00975EF0"/>
    <w:rsid w:val="00D86F08"/>
    <w:rsid w:val="00EF7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576</Words>
  <Characters>3284</Characters>
  <Application>Microsoft Office Word</Application>
  <DocSecurity>0</DocSecurity>
  <Lines>27</Lines>
  <Paragraphs>7</Paragraphs>
  <ScaleCrop>false</ScaleCrop>
  <Company>Capita IT Services</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Koli, Sneha (IT Enterprise Services)</dc:creator>
  <cp:lastModifiedBy>Koli, Sneha (IT Enterprise Services)</cp:lastModifiedBy>
  <cp:revision>3</cp:revision>
  <dcterms:created xsi:type="dcterms:W3CDTF">2016-05-10T14:05:00Z</dcterms:created>
  <dcterms:modified xsi:type="dcterms:W3CDTF">2016-05-10T14:22:00Z</dcterms:modified>
</cp:coreProperties>
</file>