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6B"/>
          <w:sz w:val="32"/>
          <w:szCs w:val="32"/>
        </w:rPr>
        <w:t xml:space="preserve">50-State + District of Columbia</w:t>
      </w:r>
    </w:p>
    <w:p>
      <w:pPr>
        <w:spacing w:after="100"/>
      </w:pPr>
      <w:r>
        <w:rPr>
          <w:rFonts w:ascii="Arial" w:cs="Arial" w:eastAsia="Arial" w:hAnsi="Arial"/>
          <w:b/>
          <w:bCs/>
          <w:color w:val="1B3A6B"/>
          <w:sz w:val="32"/>
          <w:szCs w:val="32"/>
        </w:rPr>
        <w:t xml:space="preserve">Non-Medical Home Care Licensing &amp; Compliance Quick Reference</w:t>
      </w:r>
    </w:p>
    <w:p>
      <w:pPr>
        <w:spacing w:after="200"/>
      </w:pPr>
      <w:r>
        <w:rPr>
          <w:sz w:val="18"/>
        </w:rPr>
        <w:t>Primary-Source Verification Matrix  |  Reconciled Research Edition  |  Updated September 21, 2026</w:t>
      </w:r>
    </w:p>
    <w:p>
      <w:pPr>
        <w:shd w:fill="1B3A6B" w:color="auto" w:val="clear"/>
        <w:spacing w:after="120" w:before="200"/>
      </w:pPr>
      <w:r>
        <w:rPr>
          <w:rFonts w:ascii="Arial" w:cs="Arial" w:eastAsia="Arial" w:hAnsi="Arial"/>
          <w:b/>
          <w:bCs/>
          <w:color w:val="FFFFFF"/>
          <w:sz w:val="22"/>
          <w:szCs w:val="22"/>
        </w:rPr>
        <w:t xml:space="preserve">KEY FINDINGS AND USE LIMITATIONS</w:t>
      </w:r>
    </w:p>
    <w:p>
      <w:pPr/>
      <w:r>
        <w:t>READING TIP: This reference is formatted in landscape for the widest practical table view. For digital use, zoom to the state row you need; for print, use landscape orientation and fit-to-page. “Requires verification” is an intentional flag, not a negative finding.</w:t>
      </w:r>
    </w:p>
    <w:p>
      <w:pPr>
        <w:pStyle w:val="ListParagraph"/>
        <w:numPr>
          <w:ilvl w:val="0"/>
          <w:numId w:val="1"/>
        </w:numPr>
        <w:spacing w:after="80"/>
      </w:pPr>
      <w:r>
        <w:rPr>
          <w:rFonts w:ascii="Arial" w:cs="Arial" w:eastAsia="Arial" w:hAnsi="Arial"/>
          <w:color w:val="222222"/>
          <w:sz w:val="16"/>
          <w:szCs w:val="16"/>
        </w:rPr>
        <w:t xml:space="preserve">This guide distinguishes non-medical companion, homemaker, and personal-care/personal-assistance agencies from Medicare-certified skilled home health agencies, which are licensed in all 50 states + DC.</w:t>
      </w:r>
    </w:p>
    <w:p>
      <w:pPr>
        <w:pStyle w:val="ListParagraph"/>
        <w:numPr>
          <w:ilvl w:val="0"/>
          <w:numId w:val="1"/>
        </w:numPr>
        <w:spacing w:after="80"/>
      </w:pPr>
      <w:r>
        <w:rPr>
          <w:sz w:val="18"/>
        </w:rPr>
        <w:t>Massachusetts enacted Chapter 180 on August 6, 2026, creating a new home care agency licensure framework. Implementation is underway: regulations and licensing dates are still being established, so Massachusetts entries below are marked as implementation-pending rather than treated as settled operational requirements.</w:t>
      </w:r>
    </w:p>
    <w:p>
      <w:pPr>
        <w:pStyle w:val="ListParagraph"/>
        <w:numPr>
          <w:ilvl w:val="0"/>
          <w:numId w:val="1"/>
        </w:numPr>
        <w:spacing w:after="80"/>
      </w:pPr>
      <w:r>
        <w:rPr>
          <w:rFonts w:ascii="Arial" w:cs="Arial" w:eastAsia="Arial" w:hAnsi="Arial"/>
          <w:color w:val="222222"/>
          <w:sz w:val="16"/>
          <w:szCs w:val="16"/>
        </w:rPr>
        <w:t xml:space="preserve">A widely-circulated surety-bond list (used by several compliance-software vendors) is substantially inaccurate against primary law. Verified corrections: California is $10,000 (not $25,000), Connecticut is $10,000 (not $50,000), Nevada is tiered $5,000/$25,000/$50,000 (not a flat $10,000), and Arizona, North Carolina, Oregon, Georgia, Texas, and Washington do not impose the commonly-cited bonds at all.</w:t>
      </w:r>
    </w:p>
    <w:p>
      <w:pPr>
        <w:pStyle w:val="ListParagraph"/>
        <w:numPr>
          <w:ilvl w:val="0"/>
          <w:numId w:val="1"/>
        </w:numPr>
        <w:spacing w:after="80"/>
      </w:pPr>
      <w:r>
        <w:rPr>
          <w:sz w:val="18"/>
        </w:rPr>
        <w:t>Certificate of Need (CON) rules often apply to skilled or Medicare-certified home health rather than non-medical home care. Do not infer a CON requirement from a state’s home-health rules. New York remains a major non-medical exception because public-need review applies to Licensed Home Care Services Agencies (LHCSAs).</w:t>
      </w:r>
    </w:p>
    <w:p>
      <w:pPr>
        <w:pStyle w:val="ListParagraph"/>
        <w:numPr>
          <w:ilvl w:val="0"/>
          <w:numId w:val="1"/>
        </w:numPr>
        <w:spacing w:after="80"/>
      </w:pPr>
      <w:r>
        <w:rPr>
          <w:rFonts w:ascii="Arial" w:cs="Arial" w:eastAsia="Arial" w:hAnsi="Arial"/>
          <w:color w:val="222222"/>
          <w:sz w:val="16"/>
          <w:szCs w:val="16"/>
        </w:rPr>
        <w:t xml:space="preserve">EVV (Electronic Visit Verification) is a federal mandate under the 21st Century Cures Act for Medicaid-funded personal care and home health visits in every state — not optional, and not dependent on state licensure status.</w:t>
      </w:r>
    </w:p>
    <w:p>
      <w:pPr>
        <w:pStyle w:val="ListParagraph"/>
        <w:numPr>
          <w:ilvl w:val="0"/>
          <w:numId w:val="1"/>
        </w:numPr>
        <w:spacing w:after="80"/>
      </w:pPr>
      <w:r>
        <w:rPr>
          <w:rFonts w:ascii="Arial" w:cs="Arial" w:eastAsia="Arial" w:hAnsi="Arial"/>
          <w:color w:val="222222"/>
          <w:sz w:val="16"/>
          <w:szCs w:val="16"/>
        </w:rPr>
        <w:t xml:space="preserve">A filled cell reflects a primary government source identified for that jurisdiction (agency page, administrative code, or statute). “Requires verification” means no primary source could be confirmed within this research pass — do not treat it as a negative finding, and do not fill it in with a guess before publication.</w:t>
      </w:r>
    </w:p>
    <w:p>
      <w:pPr>
        <w:pStyle w:val="ListParagraph"/>
        <w:numPr>
          <w:ilvl w:val="0"/>
          <w:numId w:val="1"/>
        </w:numPr>
        <w:spacing w:after="80"/>
      </w:pPr>
      <w:r>
        <w:rPr>
          <w:sz w:val="18"/>
        </w:rPr>
        <w:t>Before client reliance, confirm agency scope, exemptions, fees, bond amounts, RN supervisory-visit rules, EVV requirements, and implementation dates directly with the named state agency. This is a fast-moving regulatory area, and a source that was accurate when researched can change before an agency files or opens.</w:t>
      </w:r>
    </w:p>
    <w:p>
      <w:pPr>
        <w:spacing w:after="100"/>
      </w:pPr>
    </w:p>
    <w:p>
      <w:pPr>
        <w:shd w:fill="1B3A6B" w:color="auto" w:val="clear"/>
        <w:spacing w:after="120" w:before="200"/>
      </w:pPr>
      <w:r>
        <w:rPr>
          <w:rFonts w:ascii="Arial" w:cs="Arial" w:eastAsia="Arial" w:hAnsi="Arial"/>
          <w:b/>
          <w:bCs/>
          <w:color w:val="FFFFFF"/>
          <w:sz w:val="22"/>
          <w:szCs w:val="22"/>
        </w:rPr>
        <w:t xml:space="preserve">STATE-BY-STATE REFERENCE TABLE</w:t>
      </w:r>
    </w:p>
    <w:tbl>
      <w:tblPr>
        <w:tblW w:type="dxa" w:w="1454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1900"/>
        <w:gridCol w:w="1600"/>
        <w:gridCol w:w="1400"/>
        <w:gridCol w:w="1600"/>
        <w:gridCol w:w="1800"/>
        <w:gridCol w:w="1200"/>
        <w:gridCol w:w="1944"/>
      </w:tblGrid>
      <w:tr>
        <w:trPr>
          <w:tblHeader/>
          <w:cantSplit/>
          <w:tblHeader w:val="true"/>
        </w:trPr>
        <w:tc>
          <w:tcPr>
            <w:tcW w:type="dxa" w:w="1296"/>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State</w:t>
            </w:r>
          </w:p>
        </w:tc>
        <w:tc>
          <w:tcPr>
            <w:tcW w:type="dxa" w:w="2016"/>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License Required (Non-Medical)</w:t>
            </w:r>
          </w:p>
        </w:tc>
        <w:tc>
          <w:tcPr>
            <w:tcW w:type="dxa" w:w="1899"/>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Licensing Agency</w:t>
            </w:r>
          </w:p>
        </w:tc>
        <w:tc>
          <w:tcPr>
            <w:tcW w:type="dxa" w:w="1599"/>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CON</w:t>
            </w:r>
          </w:p>
        </w:tc>
        <w:tc>
          <w:tcPr>
            <w:tcW w:type="dxa" w:w="1399"/>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RN Visit Interval</w:t>
            </w:r>
          </w:p>
        </w:tc>
        <w:tc>
          <w:tcPr>
            <w:tcW w:type="dxa" w:w="1599"/>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EVV Model</w:t>
            </w:r>
          </w:p>
        </w:tc>
        <w:tc>
          <w:tcPr>
            <w:tcW w:type="dxa" w:w="1800"/>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Surety Bond</w:t>
            </w:r>
          </w:p>
        </w:tc>
        <w:tc>
          <w:tcPr>
            <w:tcW w:type="dxa" w:w="1199"/>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Renewal</w:t>
            </w:r>
          </w:p>
        </w:tc>
        <w:tc>
          <w:tcPr>
            <w:tcW w:type="dxa" w:w="1728"/>
            <w:shd w:fill="1B3A6B" w:color="auto" w:val="clear"/>
            <w:tcMar>
              <w:top w:type="dxa" w:w="80"/>
              <w:left w:type="dxa" w:w="60"/>
              <w:bottom w:type="dxa" w:w="80"/>
              <w:right w:type="dxa" w:w="60"/>
            </w:tcMar>
            <w:vAlign w:val="center"/>
          </w:tcPr>
          <w:p>
            <w:pPr>
              <w:spacing w:after="0" w:before="0"/>
            </w:pPr>
            <w:r>
              <w:rPr>
                <w:rFonts w:ascii="Arial" w:cs="Arial" w:eastAsia="Arial" w:hAnsi="Arial"/>
                <w:b/>
                <w:bCs/>
                <w:color w:val="FFFFFF"/>
                <w:sz w:val="16"/>
                <w:szCs w:val="16"/>
              </w:rPr>
              <w:t xml:space="preserve">Primary Source</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Alabama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AL Dept. of Public Health, Home Health Licensure</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health/CON via SHPDA; non-medical scope Requires verification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State-mandated → open (AuthentiCare → HHAeXchange)</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Annual (Requires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ADPH</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Alaska</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AK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(no CON program)</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State-provided + alternate vendor</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AK DOH</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Arizona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 no state license for non-medical</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 — ADHS licenses only skilled home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(no formal CON)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(Sandata aggregator)</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AZ In-Home Care Assn.; ADHS AAC R9-10</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Arkansas</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AR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only</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ADH</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California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Care Organization (HCO)</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CA Dept. of Social Services, Home Care Services Bureau</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(Sandata)</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$10,000 employee-dishonesty bond</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Biennial</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CDSS; Health &amp; Safety Code §1796.37(a)(4)</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Colorado</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CO Dept. of Public Health &amp; Environment</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CDPHE</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Connecticut</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Homemaker-Companion Agency registration</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CT Dept. of Consumer Protection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(home health CON only)</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 (non-medical)</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$10,000 min. bond/insurance</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Annual (Oct 31); $375</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Conn. Gen. Stat. §20-672(a)(3); PA 17-77</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Delaware</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Personal Assistance Services Agency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DE Div. of Health Care Quality</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DHCQ</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District of Columbia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DC Health, Health Regulation &amp; Licensing Admin.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 via SHPDA</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dchealth.dc.gov</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Florida</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Agency OR Homemaker/Companion registration</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FL Agency for Health Care Administration (AHCA)</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only; nurse registry &amp; homemaker/companion exempt</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"As needed" / patient-directed</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HHA: $50k bond if ≥10 patients; homemaker/companion: none</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Biennial; HHA ~$2,255, H/C $50.75</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AHCA Ch. 400; Fla. Stat. §400.487(3); FAC 59A-8</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Georgia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Private Home Care Provider (PHCP)</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GA Dept. of Community Health, HFRD</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health/hospice only; NOT PHCP</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92 days (personal care); 122 days (companion/sitter)</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State-mandated (planned)</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 state bond (liability insurance; conditional fidelity bond if handling funds)</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Annual; $350 app.</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Ga. Comp. R. &amp; Regs. 111-8-65-.10; O.C.G.A. §31-7-300</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Hawaii</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HI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only</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(Sandata)</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HI DOH</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Idaho</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ID Dept. of Health &amp; Welfare</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Provider choice (Sandata aggregator)</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IDHW</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Illinois</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Services Agency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IL Dept. of Public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 non-medical HSA exempt; CON home health only</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State-mandated (Sandata/Santrax)</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Bond or adequate insurance (Requires verification amount)</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Annual; ~$1,350–1,500 app.</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210 ILCS 55; 77 IAC 245</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Indiana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Personal Services Agency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IN Dept. of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(Sandata)</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IDOH</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Iowa</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 no state license for non-medical</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 — IA DHHS licenses skilled home health only</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(CareBridge)</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Iowa DHHS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Kansas</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KS Dept. for Aging &amp; Disability Services</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State-mandated (AuthentiCare)</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KDADS</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Kentucky</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KY Cabinet for Health &amp; Family Services</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 personal care Requires verification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CHFS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Louisiana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Personal Care Attendant / home care</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LA Dept. of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only</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(LaSRS)</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LDH</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Maine</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ME Dept. of Health &amp; Human Services</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(MIHMS)</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Maine DHHS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Maryland</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Residential Service Agency (RSA)</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MD Dept. of Health, Office of Health Care Quality</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only</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State-mandated in-house (ISAS)</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$75,000 cited by vendors — Requires verification in COMAR text</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Every 3 yrs; ~$1,000</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COMAR 10.07.05</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hAnsi="Arial"/>
                <w:sz w:val="15"/>
              </w:rPr>
              <w:t>Massachusetts</w:t>
            </w:r>
          </w:p>
        </w:tc>
        <w:tc>
          <w:tcPr>
            <w:tcW w:type="dxa" w:w="2016"/>
            <w:shd w:fill="F2F2F2" w:color="auto" w:val="clear"/>
            <w:tcMar>
              <w:top w:type="dxa" w:w="60"/>
              <w:left w:type="dxa" w:w="60"/>
              <w:bottom w:type="dxa" w:w="60"/>
              <w:right w:type="dxa" w:w="60"/>
            </w:tcMar>
            <w:vAlign w:val="center"/>
          </w:tcPr>
          <w:p>
            <w:pPr>
              <w:spacing w:after="0" w:before="0"/>
            </w:pPr>
            <w:r>
              <w:rPr>
                <w:rFonts w:ascii="Arial" w:hAnsi="Arial"/>
                <w:sz w:val="15"/>
              </w:rPr>
              <w:t>Y under 2026 law; implementation schedule pending regulations</w:t>
            </w:r>
          </w:p>
        </w:tc>
        <w:tc>
          <w:tcPr>
            <w:tcW w:type="dxa" w:w="1899"/>
            <w:shd w:fill="F2F2F2" w:color="auto" w:val="clear"/>
            <w:tcMar>
              <w:top w:type="dxa" w:w="60"/>
              <w:left w:type="dxa" w:w="60"/>
              <w:bottom w:type="dxa" w:w="60"/>
              <w:right w:type="dxa" w:w="60"/>
            </w:tcMar>
            <w:vAlign w:val="center"/>
          </w:tcPr>
          <w:p>
            <w:pPr>
              <w:spacing w:after="0" w:before="0"/>
            </w:pPr>
            <w:r>
              <w:rPr>
                <w:rFonts w:ascii="Arial" w:hAnsi="Arial"/>
                <w:sz w:val="15"/>
              </w:rPr>
              <w:t>MA Executive Office of Health &amp; Human Services (with EOA&amp;I / DPH)</w:t>
            </w:r>
          </w:p>
        </w:tc>
        <w:tc>
          <w:tcPr>
            <w:tcW w:type="dxa" w:w="1599"/>
            <w:shd w:fill="F2F2F2" w:color="auto" w:val="clear"/>
            <w:tcMar>
              <w:top w:type="dxa" w:w="60"/>
              <w:left w:type="dxa" w:w="60"/>
              <w:bottom w:type="dxa" w:w="60"/>
              <w:right w:type="dxa" w:w="60"/>
            </w:tcMar>
            <w:vAlign w:val="center"/>
          </w:tcPr>
          <w:p>
            <w:pPr>
              <w:spacing w:after="0" w:before="0"/>
            </w:pPr>
            <w:r>
              <w:rPr>
                <w:rFonts w:ascii="Arial" w:hAnsi="Arial"/>
                <w:sz w:val="15"/>
              </w:rPr>
              <w:t>N for non-medical home care under current framework</w:t>
            </w:r>
          </w:p>
        </w:tc>
        <w:tc>
          <w:tcPr>
            <w:tcW w:type="dxa" w:w="1399"/>
            <w:shd w:fill="F2F2F2" w:color="auto" w:val="clear"/>
            <w:tcMar>
              <w:top w:type="dxa" w:w="60"/>
              <w:left w:type="dxa" w:w="60"/>
              <w:bottom w:type="dxa" w:w="60"/>
              <w:right w:type="dxa" w:w="60"/>
            </w:tcMar>
            <w:vAlign w:val="center"/>
          </w:tcPr>
          <w:p>
            <w:pPr>
              <w:spacing w:after="0" w:before="0"/>
            </w:pPr>
            <w:r>
              <w:rPr>
                <w:rFonts w:ascii="Arial" w:hAnsi="Arial"/>
                <w:sz w:val="15"/>
              </w:rPr>
              <w:t>Requires verification under forthcoming regulations</w:t>
            </w:r>
          </w:p>
        </w:tc>
        <w:tc>
          <w:tcPr>
            <w:tcW w:type="dxa" w:w="1599"/>
            <w:shd w:fill="F2F2F2" w:color="auto" w:val="clear"/>
            <w:tcMar>
              <w:top w:type="dxa" w:w="60"/>
              <w:left w:type="dxa" w:w="60"/>
              <w:bottom w:type="dxa" w:w="60"/>
              <w:right w:type="dxa" w:w="60"/>
            </w:tcMar>
            <w:vAlign w:val="center"/>
          </w:tcPr>
          <w:p>
            <w:pPr>
              <w:spacing w:after="0" w:before="0"/>
            </w:pPr>
            <w:r>
              <w:rPr>
                <w:rFonts w:ascii="Arial" w:hAnsi="Arial"/>
                <w:sz w:val="15"/>
              </w:rPr>
              <w:t>Program-specific; verify MassHealth requirements</w:t>
            </w:r>
          </w:p>
        </w:tc>
        <w:tc>
          <w:tcPr>
            <w:tcW w:type="dxa" w:w="1800"/>
            <w:shd w:fill="F2F2F2" w:color="auto" w:val="clear"/>
            <w:tcMar>
              <w:top w:type="dxa" w:w="60"/>
              <w:left w:type="dxa" w:w="60"/>
              <w:bottom w:type="dxa" w:w="60"/>
              <w:right w:type="dxa" w:w="60"/>
            </w:tcMar>
            <w:vAlign w:val="center"/>
          </w:tcPr>
          <w:p>
            <w:pPr>
              <w:spacing w:after="0" w:before="0"/>
            </w:pPr>
            <w:r>
              <w:rPr>
                <w:rFonts w:ascii="Arial" w:hAnsi="Arial"/>
                <w:sz w:val="15"/>
              </w:rPr>
              <w:t>Insurance requirements to be set/implemented under Chapter 180</w:t>
            </w:r>
          </w:p>
        </w:tc>
        <w:tc>
          <w:tcPr>
            <w:tcW w:type="dxa" w:w="1199"/>
            <w:shd w:fill="F2F2F2" w:color="auto" w:val="clear"/>
            <w:tcMar>
              <w:top w:type="dxa" w:w="60"/>
              <w:left w:type="dxa" w:w="60"/>
              <w:bottom w:type="dxa" w:w="60"/>
              <w:right w:type="dxa" w:w="60"/>
            </w:tcMar>
            <w:vAlign w:val="center"/>
          </w:tcPr>
          <w:p>
            <w:pPr>
              <w:spacing w:after="0" w:before="0"/>
            </w:pPr>
            <w:r>
              <w:rPr>
                <w:rFonts w:ascii="Arial" w:hAnsi="Arial"/>
                <w:sz w:val="15"/>
              </w:rPr>
              <w:t>3-year license term under Chapter 180; implementation date pending</w:t>
            </w:r>
          </w:p>
        </w:tc>
        <w:tc>
          <w:tcPr>
            <w:tcW w:type="dxa" w:w="1728"/>
            <w:shd w:fill="F2F2F2" w:color="auto" w:val="clear"/>
            <w:tcMar>
              <w:top w:type="dxa" w:w="60"/>
              <w:left w:type="dxa" w:w="60"/>
              <w:bottom w:type="dxa" w:w="60"/>
              <w:right w:type="dxa" w:w="60"/>
            </w:tcMar>
            <w:vAlign w:val="center"/>
          </w:tcPr>
          <w:p>
            <w:pPr>
              <w:spacing w:after="0" w:before="0"/>
            </w:pPr>
            <w:r>
              <w:rPr>
                <w:rFonts w:ascii="Arial" w:hAnsi="Arial"/>
                <w:sz w:val="15"/>
              </w:rPr>
              <w:t>MA Acts of 2026, Ch. 180 (approved Aug. 6, 2026)</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Michigan</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 no state license for non-medical</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 — LARA handles skilled Medicare certification only</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for non-medical (CON for home health)</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Michigan LARA</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Minnesota</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Basic or Comprehensive Home Care License</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MN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(HHAeXchange aggregator)</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MDH</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Mississippi</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 no state license for non-medical</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 — MSDH licenses skilled home health with CON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only; NOT personal care</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(HHAeXchange/FEI)</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None</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N/A</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MSDH; Title 41 Ch. 71</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Missouri</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MO Dept. of Health &amp; Senior Services</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(Sandata)</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DHSS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Montana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MT Dept. of Public Health &amp; Human Services</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long-term care CON; home health Requires verification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MT DPHHS</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Nebraska</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 Dept. of Health &amp; Human Services</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 DHHS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Nevada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Agency to Provide Personal Care Services</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NV Div. of Public &amp; Behavioral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Tiered: $5,000 / $25,000 / $50,000 by employee count</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NRS 449.065</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New Hampshire</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NH Dept. of Health &amp; Human Services</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(no formal CON)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NH DHHS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New Jersey</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Health Care Service Firm + accredited home care</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NJ Div. of Consumer Affairs</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 (2025 call postponed)</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Delegation-based; no fixed interval confirmed</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MCO choice / open (planned)</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N.J.A.C. 13:45B-14.7</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New Mexico</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NM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NMDOH</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New York</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Licensed Home Care Services Agency (LHCSA)</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NY State Dept. of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public-need/CON review applies to LHCSAs (major exception)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MCO choice</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PHL Art. 36 §3605; NYSDOH</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hAnsi="Arial"/>
                <w:sz w:val="15"/>
              </w:rPr>
              <w:t>North Carolina</w:t>
            </w:r>
          </w:p>
        </w:tc>
        <w:tc>
          <w:tcPr>
            <w:tcW w:type="dxa" w:w="2016"/>
            <w:shd w:fill="F2F2F2" w:color="auto" w:val="clear"/>
            <w:tcMar>
              <w:top w:type="dxa" w:w="60"/>
              <w:left w:type="dxa" w:w="60"/>
              <w:bottom w:type="dxa" w:w="60"/>
              <w:right w:type="dxa" w:w="60"/>
            </w:tcMar>
            <w:vAlign w:val="center"/>
          </w:tcPr>
          <w:p>
            <w:pPr>
              <w:spacing w:after="0" w:before="0"/>
            </w:pPr>
            <w:r>
              <w:rPr>
                <w:rFonts w:ascii="Arial" w:hAnsi="Arial"/>
                <w:sz w:val="15"/>
              </w:rPr>
              <w:t>Y — Home Care Agency</w:t>
            </w:r>
          </w:p>
        </w:tc>
        <w:tc>
          <w:tcPr>
            <w:tcW w:type="dxa" w:w="1899"/>
            <w:shd w:fill="F2F2F2" w:color="auto" w:val="clear"/>
            <w:tcMar>
              <w:top w:type="dxa" w:w="60"/>
              <w:left w:type="dxa" w:w="60"/>
              <w:bottom w:type="dxa" w:w="60"/>
              <w:right w:type="dxa" w:w="60"/>
            </w:tcMar>
            <w:vAlign w:val="center"/>
          </w:tcPr>
          <w:p>
            <w:pPr>
              <w:spacing w:after="0" w:before="0"/>
            </w:pPr>
            <w:r>
              <w:rPr>
                <w:rFonts w:ascii="Arial" w:hAnsi="Arial"/>
                <w:sz w:val="15"/>
              </w:rPr>
              <w:t>NC DHHS, Division of Health Service Regulation</w:t>
            </w:r>
          </w:p>
        </w:tc>
        <w:tc>
          <w:tcPr>
            <w:tcW w:type="dxa" w:w="1599"/>
            <w:shd w:fill="F2F2F2" w:color="auto" w:val="clear"/>
            <w:tcMar>
              <w:top w:type="dxa" w:w="60"/>
              <w:left w:type="dxa" w:w="60"/>
              <w:bottom w:type="dxa" w:w="60"/>
              <w:right w:type="dxa" w:w="60"/>
            </w:tcMar>
            <w:vAlign w:val="center"/>
          </w:tcPr>
          <w:p>
            <w:pPr>
              <w:spacing w:after="0" w:before="0"/>
            </w:pPr>
            <w:r>
              <w:rPr>
                <w:rFonts w:ascii="Arial" w:hAnsi="Arial"/>
                <w:sz w:val="15"/>
              </w:rPr>
              <w:t>N for ordinary home care licensure; CON applies to certified home health agencies</w:t>
            </w:r>
          </w:p>
        </w:tc>
        <w:tc>
          <w:tcPr>
            <w:tcW w:type="dxa" w:w="1399"/>
            <w:shd w:fill="F2F2F2" w:color="auto" w:val="clear"/>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hAnsi="Arial"/>
                <w:sz w:val="15"/>
              </w:rPr>
              <w:t>Open / program-specific</w:t>
            </w:r>
          </w:p>
        </w:tc>
        <w:tc>
          <w:tcPr>
            <w:tcW w:type="dxa" w:w="1800"/>
            <w:shd w:fill="F2F2F2" w:color="auto" w:val="clear"/>
            <w:tcMar>
              <w:top w:type="dxa" w:w="60"/>
              <w:left w:type="dxa" w:w="60"/>
              <w:bottom w:type="dxa" w:w="60"/>
              <w:right w:type="dxa" w:w="60"/>
            </w:tcMar>
            <w:vAlign w:val="center"/>
          </w:tcPr>
          <w:p>
            <w:pPr>
              <w:spacing w:after="0" w:before="0"/>
            </w:pPr>
            <w:r>
              <w:rPr>
                <w:rFonts w:ascii="Arial" w:hAnsi="Arial"/>
                <w:sz w:val="15"/>
              </w:rPr>
              <w:t>No bond requirement identified in 10A NCAC 13J; verify current rules</w:t>
            </w:r>
          </w:p>
        </w:tc>
        <w:tc>
          <w:tcPr>
            <w:tcW w:type="dxa" w:w="1199"/>
            <w:shd w:fill="F2F2F2" w:color="auto" w:val="clear"/>
            <w:tcMar>
              <w:top w:type="dxa" w:w="60"/>
              <w:left w:type="dxa" w:w="60"/>
              <w:bottom w:type="dxa" w:w="60"/>
              <w:right w:type="dxa" w:w="60"/>
            </w:tcMar>
            <w:vAlign w:val="center"/>
          </w:tcPr>
          <w:p>
            <w:pPr>
              <w:spacing w:after="0" w:before="0"/>
            </w:pPr>
            <w:r>
              <w:rPr>
                <w:rFonts w:ascii="Arial" w:hAnsi="Arial"/>
                <w:sz w:val="15"/>
              </w:rPr>
              <w:t>Annual</w:t>
            </w:r>
          </w:p>
        </w:tc>
        <w:tc>
          <w:tcPr>
            <w:tcW w:type="dxa" w:w="1728"/>
            <w:shd w:fill="F2F2F2" w:color="auto" w:val="clear"/>
            <w:tcMar>
              <w:top w:type="dxa" w:w="60"/>
              <w:left w:type="dxa" w:w="60"/>
              <w:bottom w:type="dxa" w:w="60"/>
              <w:right w:type="dxa" w:w="60"/>
            </w:tcMar>
            <w:vAlign w:val="center"/>
          </w:tcPr>
          <w:p>
            <w:pPr>
              <w:spacing w:after="0" w:before="0"/>
            </w:pPr>
            <w:r>
              <w:rPr>
                <w:rFonts w:ascii="Arial" w:hAnsi="Arial"/>
                <w:sz w:val="15"/>
              </w:rPr>
              <w:t>NC DHSR — Requirements for Establishing a Home Care Agency; 10A NCAC 13J</w:t>
            </w:r>
          </w:p>
        </w:tc>
      </w:tr>
      <w:tr>
        <w:trPr>
          <w:cantSplit/>
        </w:trPr>
        <w:tc>
          <w:tcPr>
            <w:tcW w:type="dxa" w:w="1296"/>
            <w:tcMar>
              <w:top w:type="dxa" w:w="60"/>
              <w:left w:type="dxa" w:w="60"/>
              <w:bottom w:type="dxa" w:w="60"/>
              <w:right w:type="dxa" w:w="60"/>
            </w:tcMar>
            <w:vAlign w:val="center"/>
          </w:tcPr>
          <w:p>
            <w:pPr>
              <w:spacing w:after="0" w:before="0"/>
            </w:pPr>
            <w:r>
              <w:rPr>
                <w:rFonts w:ascii="Arial" w:hAnsi="Arial"/>
                <w:sz w:val="15"/>
              </w:rPr>
              <w:t>North Dakota</w:t>
            </w:r>
          </w:p>
        </w:tc>
        <w:tc>
          <w:tcPr>
            <w:tcW w:type="dxa" w:w="2016"/>
            <w:tcMar>
              <w:top w:type="dxa" w:w="60"/>
              <w:left w:type="dxa" w:w="60"/>
              <w:bottom w:type="dxa" w:w="60"/>
              <w:right w:type="dxa" w:w="60"/>
            </w:tcMar>
            <w:vAlign w:val="center"/>
          </w:tcPr>
          <w:p>
            <w:pPr>
              <w:spacing w:after="0" w:before="0"/>
            </w:pPr>
            <w:r>
              <w:rPr>
                <w:rFonts w:ascii="Arial" w:hAnsi="Arial"/>
                <w:sz w:val="15"/>
              </w:rPr>
              <w:t>Y</w:t>
            </w:r>
          </w:p>
        </w:tc>
        <w:tc>
          <w:tcPr>
            <w:tcW w:type="dxa" w:w="1899"/>
            <w:tcMar>
              <w:top w:type="dxa" w:w="60"/>
              <w:left w:type="dxa" w:w="60"/>
              <w:bottom w:type="dxa" w:w="60"/>
              <w:right w:type="dxa" w:w="60"/>
            </w:tcMar>
            <w:vAlign w:val="center"/>
          </w:tcPr>
          <w:p>
            <w:pPr>
              <w:spacing w:after="0" w:before="0"/>
            </w:pPr>
            <w:r>
              <w:rPr>
                <w:rFonts w:ascii="Arial" w:hAnsi="Arial"/>
                <w:sz w:val="15"/>
              </w:rPr>
              <w:t>ND Dept. of Health &amp; Human Services</w:t>
            </w:r>
          </w:p>
        </w:tc>
        <w:tc>
          <w:tcPr>
            <w:tcW w:type="dxa" w:w="1599"/>
            <w:tcMar>
              <w:top w:type="dxa" w:w="60"/>
              <w:left w:type="dxa" w:w="60"/>
              <w:bottom w:type="dxa" w:w="60"/>
              <w:right w:type="dxa" w:w="60"/>
            </w:tcMar>
            <w:vAlign w:val="center"/>
          </w:tcPr>
          <w:p>
            <w:pPr>
              <w:spacing w:after="0" w:before="0"/>
            </w:pPr>
            <w:r>
              <w:rPr>
                <w:rFonts w:ascii="Arial" w:hAnsi="Arial"/>
                <w:sz w:val="15"/>
              </w:rPr>
              <w:t>N — state CON requirement repealed; verify any program-specific approvals</w:t>
            </w:r>
          </w:p>
        </w:tc>
        <w:tc>
          <w:tcPr>
            <w:tcW w:type="dxa" w:w="1399"/>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599"/>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800"/>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199"/>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728"/>
            <w:tcMar>
              <w:top w:type="dxa" w:w="60"/>
              <w:left w:type="dxa" w:w="60"/>
              <w:bottom w:type="dxa" w:w="60"/>
              <w:right w:type="dxa" w:w="60"/>
            </w:tcMar>
            <w:vAlign w:val="center"/>
          </w:tcPr>
          <w:p>
            <w:pPr>
              <w:spacing w:after="0" w:before="0"/>
            </w:pPr>
            <w:r>
              <w:rPr>
                <w:rFonts w:ascii="Arial" w:hAnsi="Arial"/>
                <w:sz w:val="15"/>
              </w:rPr>
              <w:t>ND HHS; N.D. Century Code (CON provisions repealed)</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Ohio</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non-medical via Medicaid certification; otherwise minimal</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OH Dept. of Health / OH Dept. of Medicaid</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 (Sandata)</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ODH/ODM</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Oklahoma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OK State Dept. of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OSDH</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Oregon</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In-Home Care Agency (IHCA)</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OR Health Authority, Health Facility Licensing &amp; Certification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 bond (liability insurance required instead)</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ORS 443.315; OAR 333-536</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Pennsylvania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Care Agency/Registry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PA Dept. of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(no CON currently)</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Home health aide: 2 weeks (§601.35); non-medical ~6 months (Ch. 611)</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28 Pa. Code Ch. 611; §601.35</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Rhode Island</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RI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RIDOH</w:t>
            </w:r>
          </w:p>
        </w:tc>
      </w:tr>
      <w:tr>
        <w:trPr>
          <w:cantSplit/>
        </w:trPr>
        <w:tc>
          <w:tcPr>
            <w:tcW w:type="dxa" w:w="1296"/>
            <w:tcMar>
              <w:top w:type="dxa" w:w="60"/>
              <w:left w:type="dxa" w:w="60"/>
              <w:bottom w:type="dxa" w:w="60"/>
              <w:right w:type="dxa" w:w="60"/>
            </w:tcMar>
            <w:vAlign w:val="center"/>
          </w:tcPr>
          <w:p>
            <w:pPr>
              <w:spacing w:after="0" w:before="0"/>
            </w:pPr>
            <w:r>
              <w:rPr>
                <w:rFonts w:ascii="Arial" w:hAnsi="Arial"/>
                <w:sz w:val="15"/>
              </w:rPr>
              <w:t>South Carolina</w:t>
            </w:r>
          </w:p>
        </w:tc>
        <w:tc>
          <w:tcPr>
            <w:tcW w:type="dxa" w:w="2016"/>
            <w:tcMar>
              <w:top w:type="dxa" w:w="60"/>
              <w:left w:type="dxa" w:w="60"/>
              <w:bottom w:type="dxa" w:w="60"/>
              <w:right w:type="dxa" w:w="60"/>
            </w:tcMar>
            <w:vAlign w:val="center"/>
          </w:tcPr>
          <w:p>
            <w:pPr>
              <w:spacing w:after="0" w:before="0"/>
            </w:pPr>
            <w:r>
              <w:rPr>
                <w:rFonts w:ascii="Arial" w:hAnsi="Arial"/>
                <w:sz w:val="15"/>
              </w:rPr>
              <w:t>Y — In-Home Care Provider</w:t>
            </w:r>
          </w:p>
        </w:tc>
        <w:tc>
          <w:tcPr>
            <w:tcW w:type="dxa" w:w="1899"/>
            <w:tcMar>
              <w:top w:type="dxa" w:w="60"/>
              <w:left w:type="dxa" w:w="60"/>
              <w:bottom w:type="dxa" w:w="60"/>
              <w:right w:type="dxa" w:w="60"/>
            </w:tcMar>
            <w:vAlign w:val="center"/>
          </w:tcPr>
          <w:p>
            <w:pPr>
              <w:spacing w:after="0" w:before="0"/>
            </w:pPr>
            <w:r>
              <w:rPr>
                <w:rFonts w:ascii="Arial" w:hAnsi="Arial"/>
                <w:sz w:val="15"/>
              </w:rPr>
              <w:t>SC Department of Public Health</w:t>
            </w:r>
          </w:p>
        </w:tc>
        <w:tc>
          <w:tcPr>
            <w:tcW w:type="dxa" w:w="1599"/>
            <w:tcMar>
              <w:top w:type="dxa" w:w="60"/>
              <w:left w:type="dxa" w:w="60"/>
              <w:bottom w:type="dxa" w:w="60"/>
              <w:right w:type="dxa" w:w="60"/>
            </w:tcMar>
            <w:vAlign w:val="center"/>
          </w:tcPr>
          <w:p>
            <w:pPr>
              <w:spacing w:after="0" w:before="0"/>
            </w:pPr>
            <w:r>
              <w:rPr>
                <w:rFonts w:ascii="Arial" w:hAnsi="Arial"/>
                <w:sz w:val="15"/>
              </w:rPr>
              <w:t>N for in-home care provider licensure; CON applies to specified health facilities/services, including home health</w:t>
            </w:r>
          </w:p>
        </w:tc>
        <w:tc>
          <w:tcPr>
            <w:tcW w:type="dxa" w:w="1399"/>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599"/>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800"/>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199"/>
            <w:tcMar>
              <w:top w:type="dxa" w:w="60"/>
              <w:left w:type="dxa" w:w="60"/>
              <w:bottom w:type="dxa" w:w="60"/>
              <w:right w:type="dxa" w:w="60"/>
            </w:tcMar>
            <w:vAlign w:val="center"/>
          </w:tcPr>
          <w:p>
            <w:pPr>
              <w:spacing w:after="0" w:before="0"/>
            </w:pPr>
            <w:r>
              <w:rPr>
                <w:rFonts w:ascii="Arial" w:hAnsi="Arial"/>
                <w:sz w:val="15"/>
              </w:rPr>
              <w:t>Requires verification</w:t>
            </w:r>
          </w:p>
        </w:tc>
        <w:tc>
          <w:tcPr>
            <w:tcW w:type="dxa" w:w="1728"/>
            <w:tcMar>
              <w:top w:type="dxa" w:w="60"/>
              <w:left w:type="dxa" w:w="60"/>
              <w:bottom w:type="dxa" w:w="60"/>
              <w:right w:type="dxa" w:w="60"/>
            </w:tcMar>
            <w:vAlign w:val="center"/>
          </w:tcPr>
          <w:p>
            <w:pPr>
              <w:spacing w:after="0" w:before="0"/>
            </w:pPr>
            <w:r>
              <w:rPr>
                <w:rFonts w:ascii="Arial" w:hAnsi="Arial"/>
                <w:sz w:val="15"/>
              </w:rPr>
              <w:t>SC DPH — In-Home Care Providers; Certificate of Need program</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South Dakota</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SD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SD DOH</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Tennessee</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Care Organization (personal support svcs.)</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TN Health Facilities Commission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 personal/professional support exempt</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TN HFC</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Texas</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HCSSA (Personal Assistance Services)</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TX Health &amp; Human Services Commission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for PAS (application periods, not CON)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Agency policy; no fixed interval (26 TAC §558.404)</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Single vendor via TMHP/HHAeXchange</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 general bond; conditional $50k Medicaid-risk bond only</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Every 3 yrs; fee ≤$2,625</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HSC Ch. 142; 26 TAC 558; 1 TAC §352.15</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Utah</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UT Dept. of Health &amp; Human Services</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UT DHHS</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Vermont</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VT Dept. of Disabilities, Aging &amp; Independent Living</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VT DAIL</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Virginia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Care Organization (HCO)</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VA Dept. of Health, Office of Licensure &amp; Certification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RN required in organizational plan (medical &amp; non-medical)</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Third-party crime insurance / blanket fidelity bond, $50,000 min.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12VAC5-381; Code of VA §32.1-162.9</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Washington</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In-Home Services Agency</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WA Dept. of Health</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 only</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No bond found in statute</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RCW 70.127; WAC 246-335</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West Virginia</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WV Dept. of Health &amp; Human Resources</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home health CON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WV DHHR</w:t>
            </w:r>
          </w:p>
        </w:tc>
      </w:tr>
      <w:tr>
        <w:trPr>
          <w:cantSplit/>
        </w:trPr>
        <w:tc>
          <w:tcPr>
            <w:tcW w:type="dxa" w:w="129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Wisconsin</w:t>
            </w:r>
          </w:p>
        </w:tc>
        <w:tc>
          <w:tcPr>
            <w:tcW w:type="dxa" w:w="2016"/>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 — personal care agency via Medicaid certification</w:t>
            </w:r>
          </w:p>
        </w:tc>
        <w:tc>
          <w:tcPr>
            <w:tcW w:type="dxa" w:w="18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WI Dept. of Health Services</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 (no formal CON)</w:t>
            </w:r>
          </w:p>
        </w:tc>
        <w:tc>
          <w:tcPr>
            <w:tcW w:type="dxa" w:w="13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Open</w:t>
            </w:r>
          </w:p>
        </w:tc>
        <w:tc>
          <w:tcPr>
            <w:tcW w:type="dxa" w:w="1800"/>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shd w:fill="F2F2F2" w:color="auto" w:val="clear"/>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WI DHS</w:t>
            </w:r>
          </w:p>
        </w:tc>
      </w:tr>
      <w:tr>
        <w:trPr>
          <w:cantSplit/>
        </w:trPr>
        <w:tc>
          <w:tcPr>
            <w:tcW w:type="dxa" w:w="129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Wyoming</w:t>
            </w:r>
          </w:p>
        </w:tc>
        <w:tc>
          <w:tcPr>
            <w:tcW w:type="dxa" w:w="2016"/>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Y</w:t>
            </w:r>
          </w:p>
        </w:tc>
        <w:tc>
          <w:tcPr>
            <w:tcW w:type="dxa" w:w="18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WY Dept. of Health</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N</w:t>
            </w:r>
          </w:p>
        </w:tc>
        <w:tc>
          <w:tcPr>
            <w:tcW w:type="dxa" w:w="13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5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800"/>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199"/>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Requires verification</w:t>
            </w:r>
          </w:p>
        </w:tc>
        <w:tc>
          <w:tcPr>
            <w:tcW w:type="dxa" w:w="1728"/>
            <w:tcMar>
              <w:top w:type="dxa" w:w="60"/>
              <w:left w:type="dxa" w:w="60"/>
              <w:bottom w:type="dxa" w:w="60"/>
              <w:right w:type="dxa" w:w="60"/>
            </w:tcMar>
            <w:vAlign w:val="center"/>
          </w:tcPr>
          <w:p>
            <w:pPr>
              <w:spacing w:after="0" w:before="0"/>
            </w:pPr>
            <w:r>
              <w:rPr>
                <w:rFonts w:ascii="Arial" w:cs="Arial" w:eastAsia="Arial" w:hAnsi="Arial"/>
                <w:color w:val="222222"/>
                <w:sz w:val="15"/>
                <w:szCs w:val="14"/>
              </w:rPr>
              <w:t xml:space="preserve">WY DOH</w:t>
            </w:r>
          </w:p>
        </w:tc>
      </w:tr>
    </w:tbl>
    <w:p>
      <w:pPr>
        <w:spacing w:after="100"/>
      </w:pPr>
    </w:p>
    <w:p>
      <w:pPr>
        <w:shd w:fill="1B3A6B" w:color="auto" w:val="clear"/>
        <w:spacing w:after="120" w:before="200"/>
      </w:pPr>
      <w:r>
        <w:rPr>
          <w:rFonts w:ascii="Arial" w:cs="Arial" w:eastAsia="Arial" w:hAnsi="Arial"/>
          <w:b/>
          <w:bCs/>
          <w:color w:val="FFFFFF"/>
          <w:sz w:val="22"/>
          <w:szCs w:val="22"/>
        </w:rPr>
        <w:t xml:space="preserve">NOTES &amp; CAVEATS</w:t>
      </w:r>
    </w:p>
    <w:p>
      <w:r>
        <w:rPr>
          <w:sz w:val="18"/>
        </w:rPr>
        <w:t>Regulatory freshness note (September 21, 2026): Massachusetts Chapter 180 was enacted after the original July research pass. North Carolina, North Dakota, and South Carolina CON wording has also been clarified to distinguish non-medical home care from skilled/certified home health requirements.</w:t>
      </w:r>
    </w:p>
    <w:p>
      <w:pPr>
        <w:pStyle w:val="ListParagraph"/>
        <w:numPr>
          <w:ilvl w:val="0"/>
          <w:numId w:val="1"/>
        </w:numPr>
        <w:spacing w:after="80"/>
      </w:pPr>
      <w:r>
        <w:t>This is a research reference — not legal advice. Licensing categories can turn on subtle distinctions (companion vs. personal care vs. skilled care) that vary by state.</w:t>
      </w:r>
    </w:p>
    <w:p>
      <w:pPr>
        <w:pStyle w:val="ListParagraph"/>
        <w:numPr>
          <w:ilvl w:val="0"/>
          <w:numId w:val="1"/>
        </w:numPr>
        <w:spacing w:after="80"/>
      </w:pPr>
      <w:r>
        <w:rPr>
          <w:rFonts w:ascii="Arial" w:cs="Arial" w:eastAsia="Arial" w:hAnsi="Arial"/>
          <w:color w:val="222222"/>
          <w:sz w:val="16"/>
          <w:szCs w:val="16"/>
        </w:rPr>
        <w:t xml:space="preserve">“No CON” should not be read as “no approval requirement.” Some states use public-need findings, certificate-of-authority processes, or Medicaid provider-enrollment caps that function similarly to CON without using that name.</w:t>
      </w:r>
    </w:p>
    <w:p>
      <w:pPr>
        <w:pStyle w:val="ListParagraph"/>
        <w:numPr>
          <w:ilvl w:val="0"/>
          <w:numId w:val="1"/>
        </w:numPr>
        <w:spacing w:after="80"/>
      </w:pPr>
      <w:r>
        <w:rPr>
          <w:rFonts w:ascii="Arial" w:cs="Arial" w:eastAsia="Arial" w:hAnsi="Arial"/>
          <w:color w:val="222222"/>
          <w:sz w:val="16"/>
          <w:szCs w:val="16"/>
        </w:rPr>
        <w:t xml:space="preserve">RN supervisory-visit requirements often arise only for specific payer programs (e.g., Medicaid waiver, private-duty nursing overlap) or when personal care is bundled with skilled services — a state with no general rule may still impose one program-by-program.</w:t>
      </w:r>
    </w:p>
    <w:p>
      <w:pPr>
        <w:pStyle w:val="ListParagraph"/>
        <w:numPr>
          <w:ilvl w:val="0"/>
          <w:numId w:val="1"/>
        </w:numPr>
        <w:spacing w:after="80"/>
      </w:pPr>
      <w:r>
        <w:rPr>
          <w:rFonts w:ascii="Arial" w:cs="Arial" w:eastAsia="Arial" w:hAnsi="Arial"/>
          <w:color w:val="222222"/>
          <w:sz w:val="16"/>
          <w:szCs w:val="16"/>
        </w:rPr>
        <w:t xml:space="preserve">EVV model details are frequently program-specific and change through state procurements or new mandates — re-verify against the state Medicaid EVV page before go-live, not just at initial licensing.</w:t>
      </w:r>
    </w:p>
    <w:p>
      <w:pPr>
        <w:pStyle w:val="ListParagraph"/>
        <w:numPr>
          <w:ilvl w:val="0"/>
          <w:numId w:val="1"/>
        </w:numPr>
        <w:spacing w:after="80"/>
      </w:pPr>
      <w:r>
        <w:rPr>
          <w:rFonts w:ascii="Arial" w:cs="Arial" w:eastAsia="Arial" w:hAnsi="Arial"/>
          <w:color w:val="222222"/>
          <w:sz w:val="16"/>
          <w:szCs w:val="16"/>
        </w:rPr>
        <w:t xml:space="preserve">Fee amounts, bond figures, and processing timelines are the most changeable data points and were intentionally left marked “requires verification” in the majority of jurisdictions rather than repeating unverified vendor figures.</w:t>
      </w:r>
    </w:p>
    <w:p>
      <w:pPr>
        <w:pStyle w:val="ListParagraph"/>
        <w:numPr>
          <w:ilvl w:val="0"/>
          <w:numId w:val="1"/>
        </w:numPr>
        <w:spacing w:after="80"/>
      </w:pPr>
      <w:r>
        <w:rPr>
          <w:rFonts w:ascii="Arial" w:cs="Arial" w:eastAsia="Arial" w:hAnsi="Arial"/>
          <w:color w:val="222222"/>
          <w:sz w:val="16"/>
          <w:szCs w:val="16"/>
        </w:rPr>
        <w:t xml:space="preserve">Jurisdictions requiring the most additional verification before publication: Alabama, Alaska, Colorado, Delaware, DC, Hawaii, Idaho, Indiana, Kansas, Kentucky, Louisiana, Maine, Minnesota, Missouri, Montana, Nebraska, New Hampshire, New Mexico, North Dakota, Ohio, Oklahoma, Rhode Island, South Carolina, South Dakota, Tennessee, Utah, Vermont, West Virginia, Wisconsin, and Wyoming.</w:t>
      </w:r>
    </w:p>
    <w:p>
      <w:pPr>
        <w:spacing w:after="100"/>
      </w:pPr>
    </w:p>
    <w:p>
      <w:pPr>
        <w:shd w:fill="1B3A6B" w:color="auto" w:val="clear"/>
        <w:spacing w:after="120" w:before="200"/>
      </w:pPr>
      <w:r>
        <w:rPr>
          <w:rFonts w:ascii="Arial" w:cs="Arial" w:eastAsia="Arial" w:hAnsi="Arial"/>
          <w:b/>
          <w:bCs/>
          <w:color w:val="FFFFFF"/>
          <w:sz w:val="22"/>
          <w:szCs w:val="22"/>
        </w:rPr>
        <w:t xml:space="preserve">PRIMARY FEDERAL SOURCES</w:t>
      </w:r>
    </w:p>
    <w:p>
      <w:pPr>
        <w:pStyle w:val="ListParagraph"/>
        <w:numPr>
          <w:ilvl w:val="0"/>
          <w:numId w:val="1"/>
        </w:numPr>
        <w:spacing w:after="80"/>
      </w:pPr>
      <w:r>
        <w:rPr>
          <w:rFonts w:ascii="Arial" w:cs="Arial" w:eastAsia="Arial" w:hAnsi="Arial"/>
          <w:color w:val="222222"/>
          <w:sz w:val="16"/>
          <w:szCs w:val="16"/>
        </w:rPr>
        <w:t xml:space="preserve">Centers for Medicare &amp; Medicaid Services, Electronic Visit Verification: medicaid.gov/medicaid/home-community-based-services/guidance/electronic-visit-verification-evv/index.html</w:t>
      </w:r>
    </w:p>
    <w:p>
      <w:pPr>
        <w:pStyle w:val="ListParagraph"/>
        <w:numPr>
          <w:ilvl w:val="0"/>
          <w:numId w:val="1"/>
        </w:numPr>
        <w:spacing w:after="80"/>
      </w:pPr>
      <w:r>
        <w:rPr>
          <w:rFonts w:ascii="Arial" w:cs="Arial" w:eastAsia="Arial" w:hAnsi="Arial"/>
          <w:color w:val="222222"/>
          <w:sz w:val="16"/>
          <w:szCs w:val="16"/>
        </w:rPr>
        <w:t xml:space="preserve">CMS, EVV Compliance Status for Personal Care Services by State or Territory (medicaid.gov)</w:t>
      </w:r>
    </w:p>
    <w:p>
      <w:pPr>
        <w:pStyle w:val="ListParagraph"/>
        <w:numPr>
          <w:ilvl w:val="0"/>
          <w:numId w:val="1"/>
        </w:numPr>
        <w:spacing w:after="80"/>
      </w:pPr>
      <w:r>
        <w:rPr>
          <w:rFonts w:ascii="Arial" w:cs="Arial" w:eastAsia="Arial" w:hAnsi="Arial"/>
          <w:color w:val="222222"/>
          <w:sz w:val="16"/>
          <w:szCs w:val="16"/>
        </w:rPr>
        <w:t xml:space="preserve">CMS, Home Health Agency Center — distinguishing skilled home health from non-medical care: cms.gov/medicare/provider-enrollment-and-certification/certificationandcomplianc/hhas</w:t>
      </w:r>
    </w:p>
    <w:p>
      <w:pPr>
        <w:pStyle w:val="ListParagraph"/>
        <w:numPr>
          <w:ilvl w:val="0"/>
          <w:numId w:val="1"/>
        </w:numPr>
        <w:spacing w:after="80"/>
      </w:pPr>
      <w:r>
        <w:rPr>
          <w:rFonts w:ascii="Arial" w:cs="Arial" w:eastAsia="Arial" w:hAnsi="Arial"/>
          <w:color w:val="222222"/>
          <w:sz w:val="16"/>
          <w:szCs w:val="16"/>
        </w:rPr>
        <w:t xml:space="preserve">National Conference of State Legislatures (NCSL), Home and Community-Based Services state legislative tracking: ncsl.org/health/home-and-community-based-services</w:t>
      </w:r>
    </w:p>
    <w:p>
      <w:pPr>
        <w:pStyle w:val="ListParagraph"/>
        <w:numPr>
          <w:ilvl w:val="0"/>
          <w:numId w:val="1"/>
        </w:numPr>
        <w:spacing w:after="80"/>
      </w:pPr>
      <w:r>
        <w:rPr>
          <w:rFonts w:ascii="Arial" w:cs="Arial" w:eastAsia="Arial" w:hAnsi="Arial"/>
          <w:color w:val="222222"/>
          <w:sz w:val="16"/>
          <w:szCs w:val="16"/>
        </w:rPr>
        <w:t xml:space="preserve">National Academy for State Health Policy (NASHP), state Certificate of Need program summaries</w:t>
      </w:r>
    </w:p>
    <w:sectPr>
      <w:headerReference w:type="default" r:id="rId8"/>
      <w:footerReference w:type="default" r:id="rId9"/>
      <w:pgSz w:w="15840" w:h="12240" w:orient="landscape"/>
      <w:pgMar w:top="936" w:right="650" w:bottom="5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CareStart Pro • 50-State Compliance Guide • Verify current requirements before acting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234440" cy="380452"/>
          <wp:docPr id="1" name="Picture 1"/>
          <wp:cNvGraphicFramePr>
            <a:graphicFrameLocks noChangeAspect="1"/>
          </wp:cNvGraphicFramePr>
          <a:graphic>
            <a:graphicData uri="http://schemas.openxmlformats.org/drawingml/2006/picture">
              <pic:pic>
                <pic:nvPicPr>
                  <pic:cNvPr id="0" name="carestart-pro-logo.png"/>
                  <pic:cNvPicPr/>
                </pic:nvPicPr>
                <pic:blipFill>
                  <a:blip r:embed="rId1"/>
                  <a:stretch>
                    <a:fillRect/>
                  </a:stretch>
                </pic:blipFill>
                <pic:spPr>
                  <a:xfrm>
                    <a:off x="0" y="0"/>
                    <a:ext cx="1234440" cy="380452"/>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2026-07-28T16:11:53.860Z</dcterms:created>
  <dcterms:modified xsi:type="dcterms:W3CDTF">2026-07-28T16:11:53.860Z</dcterms:modified>
</cp:coreProperties>
</file>

<file path=docProps/custom.xml><?xml version="1.0" encoding="utf-8"?>
<Properties xmlns="http://schemas.openxmlformats.org/officeDocument/2006/custom-properties" xmlns:vt="http://schemas.openxmlformats.org/officeDocument/2006/docPropsVTypes"/>
</file>