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E422B"/>
          <w:sz w:val="44"/>
        </w:rPr>
        <w:t>HazelRust vs. the Official Hazelcast Java Client</w:t>
      </w:r>
    </w:p>
    <w:p>
      <w:r>
        <w:rPr>
          <w:color w:val="6B6B6B"/>
          <w:sz w:val="26"/>
        </w:rPr>
        <w:t>A deterministic, head-to-head performance and efficiency benchmark across seven realistic load scenarios</w:t>
      </w:r>
    </w:p>
    <w:p>
      <w:pPr>
        <w:spacing w:after="120"/>
      </w:pPr>
      <w:r>
        <w:rPr>
          <w:i w:val="0"/>
          <w:color w:val="6B6B6B"/>
          <w:sz w:val="19"/>
        </w:rPr>
        <w:t>Build: HazelRust @ bbadfef (release)  ·  Java client: Hazelcast Enterprise 5.7.0  ·  Cluster: 3-node Hazelcast Enterprise 5.7.0  ·  n = 3 forks × 3 trials per cell</w:t>
      </w:r>
    </w:p>
    <w:p>
      <w:pPr>
        <w:spacing w:after="120" w:before="240"/>
      </w:pPr>
      <w:r>
        <w:rPr>
          <w:b/>
          <w:color w:val="CE422B"/>
          <w:sz w:val="30"/>
        </w:rPr>
        <w:t>Executive summary</w:t>
      </w:r>
    </w:p>
    <w:p>
      <w:pPr>
        <w:spacing w:after="120"/>
      </w:pPr>
      <w:r>
        <w:rPr>
          <w:i w:val="0"/>
          <w:sz w:val="22"/>
        </w:rPr>
        <w:t>Across the seven scenarios HazelRust used a median of 18× less client memory than the Java client; spent a median of 1.6× less client CPU per operation; and led on throughput in 4 of the 5 scenarios that cleared the noise band.</w:t>
      </w:r>
    </w:p>
    <w:p>
      <w:pPr>
        <w:spacing w:after="120"/>
      </w:pPr>
      <w:r>
        <w:rPr>
          <w:i w:val="0"/>
          <w:sz w:val="21"/>
        </w:rPr>
        <w:t>Both clients completed every run with zero errors (0 total) on a bit-for-bit identical, deterministic workload. The memory and CPU gaps are the largest and most consistent results: they hold in every scenario, read- and write-heavy alike.</w:t>
      </w:r>
    </w:p>
    <w:p>
      <w:pPr>
        <w:spacing w:after="120" w:before="240"/>
      </w:pPr>
      <w:r>
        <w:rPr>
          <w:b/>
          <w:color w:val="CE422B"/>
          <w:sz w:val="26"/>
        </w:rPr>
        <w:t>Scorecard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FEFEF"/>
          </w:tcPr>
          <w:p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1080"/>
            <w:shd w:val="clear" w:fill="EFEFEF"/>
          </w:tcPr>
          <w:p>
            <w:r>
              <w:rPr>
                <w:b/>
                <w:sz w:val="17"/>
              </w:rPr>
              <w:t>HazelRust thr</w:t>
            </w:r>
          </w:p>
        </w:tc>
        <w:tc>
          <w:tcPr>
            <w:tcW w:type="dxa" w:w="1080"/>
            <w:shd w:val="clear" w:fill="EFEFEF"/>
          </w:tcPr>
          <w:p>
            <w:r>
              <w:rPr>
                <w:b/>
                <w:sz w:val="17"/>
              </w:rPr>
              <w:t>Java thr</w:t>
            </w:r>
          </w:p>
        </w:tc>
        <w:tc>
          <w:tcPr>
            <w:tcW w:type="dxa" w:w="1080"/>
            <w:shd w:val="clear" w:fill="EFEFEF"/>
          </w:tcPr>
          <w:p>
            <w:r>
              <w:rPr>
                <w:b/>
                <w:sz w:val="17"/>
              </w:rPr>
              <w:t>Throughput</w:t>
            </w:r>
          </w:p>
        </w:tc>
        <w:tc>
          <w:tcPr>
            <w:tcW w:type="dxa" w:w="1080"/>
            <w:shd w:val="clear" w:fill="EFEFEF"/>
          </w:tcPr>
          <w:p>
            <w:r>
              <w:rPr>
                <w:b/>
                <w:sz w:val="17"/>
              </w:rPr>
              <w:t>Rust p99</w:t>
            </w:r>
          </w:p>
        </w:tc>
        <w:tc>
          <w:tcPr>
            <w:tcW w:type="dxa" w:w="1080"/>
            <w:shd w:val="clear" w:fill="EFEFEF"/>
          </w:tcPr>
          <w:p>
            <w:r>
              <w:rPr>
                <w:b/>
                <w:sz w:val="17"/>
              </w:rPr>
              <w:t>Java p99</w:t>
            </w:r>
          </w:p>
        </w:tc>
        <w:tc>
          <w:tcPr>
            <w:tcW w:type="dxa" w:w="1080"/>
            <w:shd w:val="clear" w:fill="EFEFEF"/>
          </w:tcPr>
          <w:p>
            <w:r>
              <w:rPr>
                <w:b/>
                <w:sz w:val="17"/>
              </w:rPr>
              <w:t>Rust RAM</w:t>
            </w:r>
          </w:p>
        </w:tc>
        <w:tc>
          <w:tcPr>
            <w:tcW w:type="dxa" w:w="1080"/>
            <w:shd w:val="clear" w:fill="EFEFEF"/>
          </w:tcPr>
          <w:p>
            <w:r>
              <w:rPr>
                <w:b/>
                <w:sz w:val="17"/>
              </w:rPr>
              <w:t>Java RAM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Session store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250k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224k</w:t>
            </w:r>
          </w:p>
        </w:tc>
        <w:tc>
          <w:tcPr>
            <w:tcW w:type="dxa" w:w="1080"/>
          </w:tcPr>
          <w:p>
            <w:r>
              <w:rPr>
                <w:b/>
                <w:color w:val="CE422B"/>
                <w:sz w:val="17"/>
              </w:rPr>
              <w:t>Rust +11%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688 µs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688 µs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20 MB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366 MB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Telemetry ingestion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119k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98k</w:t>
            </w:r>
          </w:p>
        </w:tc>
        <w:tc>
          <w:tcPr>
            <w:tcW w:type="dxa" w:w="1080"/>
          </w:tcPr>
          <w:p>
            <w:r>
              <w:rPr>
                <w:b/>
                <w:color w:val="CE422B"/>
                <w:sz w:val="17"/>
              </w:rPr>
              <w:t>Rust +22%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8147 µs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8659 µs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35 MB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375 MB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Reference-data cache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266k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237k</w:t>
            </w:r>
          </w:p>
        </w:tc>
        <w:tc>
          <w:tcPr>
            <w:tcW w:type="dxa" w:w="1080"/>
          </w:tcPr>
          <w:p>
            <w:r>
              <w:rPr>
                <w:b/>
                <w:color w:val="CE422B"/>
                <w:sz w:val="17"/>
              </w:rPr>
              <w:t>Rust +12%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709 µs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657 µs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20 MB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366 MB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Transactional OLTP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163k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136k</w:t>
            </w:r>
          </w:p>
        </w:tc>
        <w:tc>
          <w:tcPr>
            <w:tcW w:type="dxa" w:w="1080"/>
          </w:tcPr>
          <w:p>
            <w:r>
              <w:rPr>
                <w:b/>
                <w:color w:val="CE422B"/>
                <w:sz w:val="17"/>
              </w:rPr>
              <w:t>Rust +20%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1486 µs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1511 µs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20 MB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364 MB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Rate limiting / counters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92k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68k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parity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3674 µs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6365 µs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20 MB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219 MB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Work queue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97k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107k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Java +10%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1279 µs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1070 µs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20 MB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360 MB</w:t>
            </w:r>
          </w:p>
        </w:tc>
      </w:tr>
    </w:tbl>
    <w:p>
      <w:pPr>
        <w:spacing w:after="120" w:before="240"/>
      </w:pPr>
      <w:r>
        <w:rPr>
          <w:b/>
          <w:color w:val="CE422B"/>
          <w:sz w:val="30"/>
        </w:rPr>
        <w:t>Client memory footprint</w:t>
      </w:r>
    </w:p>
    <w:p>
      <w:pPr>
        <w:spacing w:after="120"/>
      </w:pPr>
      <w:r>
        <w:rPr>
          <w:i w:val="0"/>
          <w:sz w:val="21"/>
        </w:rPr>
        <w:t>Peak resident memory of the client process while driving each workload. This is the single most decisive result: a HazelRust service replica carries a fraction of the Java client's heap, which translates directly into density and per-node cost.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_mem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b/>
          <w:color w:val="CE422B"/>
          <w:sz w:val="30"/>
        </w:rPr>
        <w:t>Throughput</w:t>
      </w:r>
    </w:p>
    <w:p>
      <w:pPr>
        <w:spacing w:after="120"/>
      </w:pPr>
      <w:r>
        <w:rPr>
          <w:i w:val="0"/>
          <w:sz w:val="21"/>
        </w:rPr>
        <w:t>Sustained closed-loop throughput, median of nine measurements per client with 95% bootstrap confidence intervals (error bars). The label above each pair is the Rust-vs-Java delta.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49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_through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49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b/>
          <w:color w:val="CE422B"/>
          <w:sz w:val="30"/>
        </w:rPr>
        <w:t>Tail latency</w:t>
      </w:r>
    </w:p>
    <w:p>
      <w:pPr>
        <w:spacing w:after="120"/>
      </w:pPr>
      <w:r>
        <w:rPr>
          <w:i w:val="0"/>
          <w:sz w:val="21"/>
        </w:rPr>
        <w:t>p99 and p99.9 operation latency per scenario (lower is better). Tail latency is where garbage-collection pauses typically surface; HazelRust has no managed runtime and no GC.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496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_la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49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b/>
          <w:color w:val="CE422B"/>
          <w:sz w:val="30"/>
        </w:rPr>
        <w:t>CPU cost per operation</w:t>
      </w:r>
    </w:p>
    <w:p>
      <w:pPr>
        <w:spacing w:after="120"/>
      </w:pPr>
      <w:r>
        <w:rPr>
          <w:i w:val="0"/>
          <w:sz w:val="21"/>
        </w:rPr>
        <w:t>Client CPU microseconds consumed per operation (whole-process sampled CPU ÷ operations). Lower CPU per op means more headroom on the same core budget.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331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_cp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33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b/>
          <w:color w:val="CE422B"/>
          <w:sz w:val="30"/>
        </w:rPr>
        <w:t>Latency under sustained load</w:t>
      </w:r>
    </w:p>
    <w:p>
      <w:pPr>
        <w:spacing w:after="120"/>
      </w:pPr>
      <w:r>
        <w:rPr>
          <w:i w:val="0"/>
          <w:sz w:val="21"/>
        </w:rPr>
        <w:t>Open-loop, coordinated-omission-corrected. The read-heavy session workload driven at a fixed fraction of each client's own measured maximum throughput, so the reported tail latency reflects real queueing delay, not a closed-loop artefact.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645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_open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6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b/>
          <w:color w:val="CE422B"/>
          <w:sz w:val="30"/>
        </w:rPr>
        <w:t>Scenario definitions</w:t>
      </w:r>
    </w:p>
    <w:p>
      <w:pPr>
        <w:spacing w:after="60"/>
      </w:pPr>
      <w:r>
        <w:rPr>
          <w:b/>
          <w:sz w:val="20"/>
        </w:rPr>
        <w:t xml:space="preserve">1. Session store — </w:t>
      </w:r>
      <w:r>
        <w:rPr>
          <w:sz w:val="20"/>
        </w:rPr>
        <w:t>Read-heavy distributed cache — IMap 95% get / 5% put, 512 B values, skewed (Zipfian) access. The shape of a web/session store shared across service replicas.</w:t>
      </w:r>
    </w:p>
    <w:p>
      <w:pPr>
        <w:spacing w:after="60"/>
      </w:pPr>
      <w:r>
        <w:rPr>
          <w:b/>
          <w:sz w:val="20"/>
        </w:rPr>
        <w:t xml:space="preserve">2. Telemetry ingestion — </w:t>
      </w:r>
      <w:r>
        <w:rPr>
          <w:sz w:val="20"/>
        </w:rPr>
        <w:t>Write-heavy ingest — IMap put, 1 KB values, high concurrency (128). The shape of event / log / metrics ingestion.</w:t>
      </w:r>
    </w:p>
    <w:p>
      <w:pPr>
        <w:spacing w:after="60"/>
      </w:pPr>
      <w:r>
        <w:rPr>
          <w:b/>
          <w:sz w:val="20"/>
        </w:rPr>
        <w:t xml:space="preserve">3. Reference-data cache — </w:t>
      </w:r>
      <w:r>
        <w:rPr>
          <w:sz w:val="20"/>
        </w:rPr>
        <w:t>Read-mostly, fully-replicated map — ReplicatedMap get, 512 B, skewed access. The shape of configuration / catalog / lookup data replicated to every member.</w:t>
      </w:r>
    </w:p>
    <w:p>
      <w:pPr>
        <w:spacing w:after="60"/>
      </w:pPr>
      <w:r>
        <w:rPr>
          <w:b/>
          <w:sz w:val="20"/>
        </w:rPr>
        <w:t xml:space="preserve">4. Transactional OLTP — </w:t>
      </w:r>
      <w:r>
        <w:rPr>
          <w:sz w:val="20"/>
        </w:rPr>
        <w:t>Balanced read/update — IMap 50% get / 50% put, 512 B, skewed access. The shape of an online transactional workload.</w:t>
      </w:r>
    </w:p>
    <w:p>
      <w:pPr>
        <w:spacing w:after="60"/>
      </w:pPr>
      <w:r>
        <w:rPr>
          <w:b/>
          <w:sz w:val="20"/>
        </w:rPr>
        <w:t xml:space="preserve">5. Rate limiting / counters — </w:t>
      </w:r>
      <w:r>
        <w:rPr>
          <w:sz w:val="20"/>
        </w:rPr>
        <w:t>Linearizable distributed counters — CP AtomicLong increment-and-get, backed by Raft. The shape of API rate limiting, sequence generation, and quota accounting.</w:t>
      </w:r>
    </w:p>
    <w:p>
      <w:pPr>
        <w:spacing w:after="60"/>
      </w:pPr>
      <w:r>
        <w:rPr>
          <w:b/>
          <w:sz w:val="20"/>
        </w:rPr>
        <w:t xml:space="preserve">6. Work queue — </w:t>
      </w:r>
      <w:r>
        <w:rPr>
          <w:sz w:val="20"/>
        </w:rPr>
        <w:t>Producer/consumer queue — IQueue offer + poll pair, 256 B payloads. The shape of task distribution and job pipelines.</w:t>
      </w:r>
    </w:p>
    <w:p>
      <w:r>
        <w:rPr>
          <w:b/>
          <w:sz w:val="20"/>
        </w:rPr>
        <w:t xml:space="preserve">7. Latency under sustained load — </w:t>
      </w:r>
      <w:r>
        <w:rPr>
          <w:sz w:val="20"/>
        </w:rPr>
        <w:t>Open-loop, coordinated-omission-corrected. The read-heavy session workload driven at a fixed fraction of each client's own measured maximum throughput, so the reported tail latency reflects real queueing delay, not a closed-loop artefact.</w:t>
      </w:r>
    </w:p>
    <w:p>
      <w:pPr>
        <w:spacing w:after="120" w:before="240"/>
      </w:pPr>
      <w:r>
        <w:rPr>
          <w:b/>
          <w:color w:val="CE422B"/>
          <w:sz w:val="30"/>
        </w:rPr>
        <w:t>Methodology &amp; caveats</w:t>
      </w:r>
    </w:p>
    <w:p>
      <w:pPr>
        <w:pStyle w:val="ListBullet"/>
      </w:pPr>
      <w:r>
        <w:rPr>
          <w:sz w:val="19"/>
        </w:rPr>
        <w:t>Deterministic workload: keys and values are generated by a shared SplitMix64 formula and a YCSB Zipfian access distribution, so both clients touch the same keys with the same bytes in the same order — the comparison is bit-for-bit identical.</w:t>
      </w:r>
    </w:p>
    <w:p>
      <w:pPr>
        <w:pStyle w:val="ListBullet"/>
      </w:pPr>
      <w:r>
        <w:rPr>
          <w:sz w:val="19"/>
        </w:rPr>
        <w:t>Rigor: each cell is run as 3 forks × 3 trials (n = 9) with the order randomized and the two clients interleaved A/B/B/A; every figure is a median with a 95% bootstrap confidence interval. Cells whose Rust/Java ratio interval spans 1.0 are reported as parity.</w:t>
      </w:r>
    </w:p>
    <w:p>
      <w:pPr>
        <w:pStyle w:val="ListBullet"/>
      </w:pPr>
      <w:r>
        <w:rPr>
          <w:sz w:val="19"/>
        </w:rPr>
        <w:t>Backup acknowledgement is matched ON for both clients, so the write paths are compared on equal durability terms.</w:t>
      </w:r>
    </w:p>
    <w:p>
      <w:pPr>
        <w:pStyle w:val="ListBullet"/>
      </w:pPr>
      <w:r>
        <w:rPr>
          <w:sz w:val="19"/>
        </w:rPr>
        <w:t>Co-located rig: the cluster and client share one host with disjoint CPU-core pinning (members 0-3,8-11, client 4-6,12-14). They still share L3 cache, memory bandwidth, and the loopback NIC, so absolute throughput is higher than a two-machine LAN — but both clients run under identical conditions, so the comparison is fair.</w:t>
      </w:r>
    </w:p>
    <w:p>
      <w:pPr>
        <w:pStyle w:val="ListBullet"/>
      </w:pPr>
      <w:r>
        <w:rPr>
          <w:sz w:val="19"/>
        </w:rPr>
        <w:t>CPU governor is hypervisor-managed in the virtualized guest; achieved clock is recorded in provenance. CPU-per-op is a whole-process approximation.</w:t>
      </w:r>
    </w:p>
    <w:p>
      <w:pPr>
        <w:pStyle w:val="ListBullet"/>
      </w:pPr>
      <w:r>
        <w:rPr>
          <w:sz w:val="19"/>
        </w:rPr>
        <w:t>Java client is Hazelcast Enterprise 5.7.0, version-identical to the cluster, on Corretto 21.</w:t>
      </w:r>
    </w:p>
    <w:p>
      <w:pPr>
        <w:spacing w:after="120" w:before="240"/>
      </w:pPr>
      <w:r>
        <w:rPr>
          <w:b/>
          <w:color w:val="CE422B"/>
          <w:sz w:val="24"/>
        </w:rPr>
        <w:t>Provenance</w:t>
      </w:r>
    </w:p>
    <w:p>
      <w:pPr>
        <w:spacing w:after="120"/>
      </w:pPr>
      <w:r>
        <w:rPr>
          <w:i w:val="0"/>
          <w:color w:val="6B6B6B"/>
          <w:sz w:val="17"/>
        </w:rPr>
        <w:t>CPU: Intel(R) Xeon(R) Platinum 8275CL CPU @ 3.00GHz  ·  kernel: Linux ip-172-31-40-82.us-east-2.compute.  ·  rustc: rustc 1.96.0 (ac68faa20 2026-05-25)  ·  java: openjdk version "21.0.11" 2026-04-21 LTS</w:t>
      </w:r>
    </w:p>
    <w:p>
      <w:pPr>
        <w:spacing w:after="120"/>
      </w:pPr>
      <w:r>
        <w:rPr>
          <w:i w:val="0"/>
          <w:color w:val="6B6B6B"/>
          <w:sz w:val="17"/>
        </w:rPr>
        <w:t>Errors across all runs: 0.  Raw per-run records and embedded HdrHistograms are preserved in the run directory (auditable).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