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2660" w:rsidRDefault="00CB2660">
      <w:pPr>
        <w:spacing w:before="1800"/>
      </w:pPr>
    </w:p>
    <w:p w:rsidR="001A059B" w:rsidRDefault="001A059B">
      <w:pPr>
        <w:jc w:val="center"/>
        <w:rPr>
          <w:rFonts w:ascii="Calibri" w:eastAsia="Calibri" w:hAnsi="Calibri" w:cs="Calibri"/>
          <w:b/>
          <w:bCs/>
          <w:color w:val="1F3864"/>
          <w:sz w:val="52"/>
          <w:szCs w:val="52"/>
        </w:rPr>
      </w:pPr>
    </w:p>
    <w:p w:rsidR="001A059B" w:rsidRDefault="001A059B">
      <w:pPr>
        <w:jc w:val="center"/>
        <w:rPr>
          <w:rFonts w:ascii="Calibri" w:eastAsia="Calibri" w:hAnsi="Calibri" w:cs="Calibri"/>
          <w:b/>
          <w:bCs/>
          <w:color w:val="1F3864"/>
          <w:sz w:val="52"/>
          <w:szCs w:val="52"/>
        </w:rPr>
      </w:pPr>
    </w:p>
    <w:p w:rsidR="001A059B" w:rsidRDefault="001A059B">
      <w:pPr>
        <w:jc w:val="center"/>
        <w:rPr>
          <w:rFonts w:ascii="Calibri" w:eastAsia="Calibri" w:hAnsi="Calibri" w:cs="Calibri"/>
          <w:b/>
          <w:bCs/>
          <w:color w:val="1F3864"/>
          <w:sz w:val="52"/>
          <w:szCs w:val="52"/>
        </w:rPr>
      </w:pPr>
    </w:p>
    <w:p w:rsidR="001A059B" w:rsidRDefault="001A059B">
      <w:pPr>
        <w:jc w:val="center"/>
        <w:rPr>
          <w:rFonts w:ascii="Calibri" w:eastAsia="Calibri" w:hAnsi="Calibri" w:cs="Calibri"/>
          <w:b/>
          <w:bCs/>
          <w:color w:val="1F3864"/>
          <w:sz w:val="52"/>
          <w:szCs w:val="52"/>
        </w:rPr>
      </w:pPr>
    </w:p>
    <w:p w:rsidR="00CB2660" w:rsidRDefault="000C46DA">
      <w:pPr>
        <w:jc w:val="center"/>
      </w:pPr>
      <w:bookmarkStart w:id="0" w:name="_GoBack"/>
      <w:bookmarkEnd w:id="0"/>
      <w:r>
        <w:rPr>
          <w:rFonts w:ascii="Calibri" w:eastAsia="Calibri" w:hAnsi="Calibri" w:cs="Calibri"/>
          <w:b/>
          <w:bCs/>
          <w:color w:val="1F3864"/>
          <w:sz w:val="52"/>
          <w:szCs w:val="52"/>
        </w:rPr>
        <w:t>Architecture Design Proposal</w:t>
      </w:r>
    </w:p>
    <w:p w:rsidR="00CB2660" w:rsidRDefault="000C46DA">
      <w:pPr>
        <w:spacing w:before="200" w:after="400"/>
        <w:jc w:val="center"/>
      </w:pPr>
      <w:r>
        <w:rPr>
          <w:rFonts w:ascii="Calibri" w:eastAsia="Calibri" w:hAnsi="Calibri" w:cs="Calibri"/>
          <w:color w:val="2E74B5"/>
          <w:sz w:val="30"/>
          <w:szCs w:val="30"/>
        </w:rPr>
        <w:t>Retail Media Intelligence Platform</w:t>
      </w:r>
    </w:p>
    <w:p w:rsidR="00CB2660" w:rsidRDefault="000C46DA">
      <w:pPr>
        <w:spacing w:after="40"/>
        <w:jc w:val="center"/>
      </w:pPr>
      <w:r>
        <w:rPr>
          <w:rFonts w:ascii="Calibri" w:eastAsia="Calibri" w:hAnsi="Calibri" w:cs="Calibri"/>
          <w:color w:val="595959"/>
          <w:sz w:val="22"/>
          <w:szCs w:val="22"/>
        </w:rPr>
        <w:t xml:space="preserve">Prepared by: </w:t>
      </w:r>
      <w:r w:rsidR="001C1C8C">
        <w:rPr>
          <w:rFonts w:ascii="Calibri" w:eastAsia="Calibri" w:hAnsi="Calibri" w:cs="Calibri"/>
          <w:color w:val="595959"/>
          <w:sz w:val="22"/>
          <w:szCs w:val="22"/>
        </w:rPr>
        <w:t>Bhuvnesh</w:t>
      </w:r>
      <w:r>
        <w:rPr>
          <w:rFonts w:ascii="Calibri" w:eastAsia="Calibri" w:hAnsi="Calibri" w:cs="Calibri"/>
          <w:color w:val="595959"/>
          <w:sz w:val="22"/>
          <w:szCs w:val="22"/>
        </w:rPr>
        <w:t xml:space="preserve"> Dixit</w:t>
      </w:r>
    </w:p>
    <w:p w:rsidR="00CB2660" w:rsidRDefault="000C46DA">
      <w:r>
        <w:br w:type="page"/>
      </w:r>
    </w:p>
    <w:p w:rsidR="00CB2660" w:rsidRDefault="000C46DA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Table of Contents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1. Executive Summary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2. Business Context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3. Requirements Engineering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4. Capacity Planning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5. Architecture Principles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6. Solution Overview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7. End-to-End Data Flow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8. Deployment Architecture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9. Security Architecture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10. Data Architecture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11. Observability &amp; Reliability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12. Technology Decisions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13. Future Roadmap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14. Challenge</w:t>
      </w:r>
      <w:r>
        <w:rPr>
          <w:rFonts w:ascii="Calibri" w:eastAsia="Calibri" w:hAnsi="Calibri" w:cs="Calibri"/>
          <w:sz w:val="22"/>
          <w:szCs w:val="22"/>
        </w:rPr>
        <w:t>s and Trade-offs</w:t>
      </w:r>
    </w:p>
    <w:p w:rsidR="00CB2660" w:rsidRDefault="000C46DA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15. Conclusion</w:t>
      </w:r>
    </w:p>
    <w:p w:rsidR="00CB2660" w:rsidRDefault="000C46DA">
      <w:r>
        <w:br w:type="page"/>
      </w:r>
    </w:p>
    <w:p w:rsidR="00CB2660" w:rsidRDefault="000C46DA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1. Executive Summary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This document presents the proposed architecture for a Retail Media Intelligence Platform that enables retailers to collect customer interaction events, process them in near real time, and provide campaign performance insights to advertisers.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solution </w:t>
      </w:r>
      <w:r>
        <w:rPr>
          <w:rFonts w:ascii="Calibri" w:eastAsia="Calibri" w:hAnsi="Calibri" w:cs="Calibri"/>
          <w:sz w:val="22"/>
          <w:szCs w:val="22"/>
        </w:rPr>
        <w:t>is designed as a cloud-native, multi-tenant platform on Google Cloud Platform (GCP) using .NET, SQL Server, Redis, and BigQuery. It combines synchronous APIs with asynchronous event processing to achieve scalability, resilience, and operational simplicity.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Objectives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7"/>
        <w:gridCol w:w="7113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Objective</w:t>
            </w:r>
          </w:p>
        </w:tc>
        <w:tc>
          <w:tcPr>
            <w:tcW w:w="68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high-volume event ingestion through horizontal scaling.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Protect platform and customer data.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Multi-Tenancy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multiple retailers on a shared platform.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Reliability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Ensure continuous processing with fault tolerance.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Extensibility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future business growth with minimal redesign.</w:t>
            </w:r>
          </w:p>
        </w:tc>
      </w:tr>
    </w:tbl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High-Level Solution</w:t>
      </w:r>
    </w:p>
    <w:p w:rsidR="00CB2660" w:rsidRDefault="000C46DA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1419225" cy="2619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Default="000C46DA">
      <w:r>
        <w:br w:type="page"/>
      </w:r>
    </w:p>
    <w:p w:rsidR="00CB2660" w:rsidRDefault="000C46DA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2. Business Context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Problem Statement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Retailers generate a large volume of customer interaction events through their digital channels. Processing these events efficiently is essential to provide advertisers with timely campaign insights and performance metrics.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proposed platform addresses </w:t>
      </w:r>
      <w:r>
        <w:rPr>
          <w:rFonts w:ascii="Calibri" w:eastAsia="Calibri" w:hAnsi="Calibri" w:cs="Calibri"/>
          <w:sz w:val="22"/>
          <w:szCs w:val="22"/>
        </w:rPr>
        <w:t>this need by collecting, processing, and exposing campaign analytics through secure APIs while supporting multiple retailers on a shared platform.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Business Scope</w:t>
      </w:r>
    </w:p>
    <w:p w:rsidR="00CB2660" w:rsidRDefault="000C46DA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In Scope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Customer event collection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Event processing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Campaign analytics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Secure APIs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Multi-tenant architecture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Cloud deployment</w:t>
      </w:r>
    </w:p>
    <w:p w:rsidR="00CB2660" w:rsidRDefault="00CB2660">
      <w:pPr>
        <w:spacing w:after="80"/>
      </w:pPr>
    </w:p>
    <w:p w:rsidR="00CB2660" w:rsidRDefault="000C46DA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Out of Scope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AI recommendations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Fraud detection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Real-time bidding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Multi-region deployment</w:t>
      </w:r>
    </w:p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Stakeholders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6800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Stakeholder</w:t>
            </w:r>
          </w:p>
        </w:tc>
        <w:tc>
          <w:tcPr>
            <w:tcW w:w="65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Responsibility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Retailer</w:t>
            </w:r>
          </w:p>
        </w:tc>
        <w:tc>
          <w:tcPr>
            <w:tcW w:w="6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Generates customer events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Advertiser</w:t>
            </w:r>
          </w:p>
        </w:tc>
        <w:tc>
          <w:tcPr>
            <w:tcW w:w="65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Consumes campaign insights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Platform Administrator</w:t>
            </w:r>
          </w:p>
        </w:tc>
        <w:tc>
          <w:tcPr>
            <w:tcW w:w="6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Operates the platform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Engineering Team</w:t>
            </w:r>
          </w:p>
        </w:tc>
        <w:tc>
          <w:tcPr>
            <w:tcW w:w="65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Develops and supports the solution</w:t>
            </w:r>
          </w:p>
        </w:tc>
      </w:tr>
    </w:tbl>
    <w:p w:rsidR="00CB2660" w:rsidRDefault="000C46DA">
      <w:r>
        <w:br w:type="page"/>
      </w:r>
    </w:p>
    <w:p w:rsidR="00CB2660" w:rsidRDefault="000C46DA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3. Requirements Engineering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Functional Requirements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0"/>
        <w:gridCol w:w="8990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#</w:t>
            </w:r>
          </w:p>
        </w:tc>
        <w:tc>
          <w:tcPr>
            <w:tcW w:w="86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Requirement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8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Capture customer interaction events.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8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 events in near real time.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8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Aggregate campaign metrics.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8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Expose campaign insights through secure REST APIs.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8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multiple retailers (multi-tenant).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8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Store operational and analytical data separately.</w:t>
            </w:r>
          </w:p>
        </w:tc>
      </w:tr>
    </w:tbl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Non-Functional Requirements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7"/>
        <w:gridCol w:w="7113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Category</w:t>
            </w:r>
          </w:p>
        </w:tc>
        <w:tc>
          <w:tcPr>
            <w:tcW w:w="68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Requirement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Independently scale ingestion, processing and API layers.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Availability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Highly available platform with no single point of failure.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Performance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 latency for event ingestion and dashboard APIs.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Authentication, authorization and encryption.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Observability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logging, monitoring and tracing.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Maintainability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Modular architecture with clear service responsibilities.</w:t>
            </w:r>
          </w:p>
        </w:tc>
      </w:tr>
    </w:tbl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Assumptions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Retailers integrate using REST APIs or SDKs.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Customer events are immutable.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Every request contains tenant information.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Near real-time processing is sufficient for business reporting.</w:t>
      </w:r>
    </w:p>
    <w:p w:rsidR="00CB2660" w:rsidRDefault="000C46DA">
      <w:r>
        <w:br w:type="page"/>
      </w:r>
    </w:p>
    <w:p w:rsidR="00CB2660" w:rsidRDefault="000C46DA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4. Capacity Planning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following engineering assumptions are used to guide the architecture and infrastructure design.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Capacity Assumptions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6383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Metric</w:t>
            </w:r>
          </w:p>
        </w:tc>
        <w:tc>
          <w:tcPr>
            <w:tcW w:w="61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Value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Daily Active Users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~50 Million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Events per User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40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Daily Events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~2 Billion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Average Throughput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~23K events/sec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Peak Throughput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~230K events/sec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Average Event Size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1 KB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/ Write Ratio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90 : 10</w:t>
            </w:r>
          </w:p>
        </w:tc>
      </w:tr>
    </w:tbl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Workload Characteristics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Although the platform ingests a large volume of customer interaction events, the overall workload is predominantly read-heavy.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Each customer interaction generates a single write operation, while campaign dashboards, retailer portals, and advertiser reports</w:t>
      </w:r>
      <w:r>
        <w:rPr>
          <w:rFonts w:ascii="Calibri" w:eastAsia="Calibri" w:hAnsi="Calibri" w:cs="Calibri"/>
          <w:sz w:val="22"/>
          <w:szCs w:val="22"/>
        </w:rPr>
        <w:t xml:space="preserve"> repeatedly query aggregated metrics throughout the day. As a result, the same dataset is read significantly more often than it is written. This workload profile directly influences the architectural design.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Design Impact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4"/>
        <w:gridCol w:w="6696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Assumption</w:t>
            </w:r>
          </w:p>
        </w:tc>
        <w:tc>
          <w:tcPr>
            <w:tcW w:w="64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Architecture Decision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High Event Volume</w:t>
            </w:r>
          </w:p>
        </w:tc>
        <w:tc>
          <w:tcPr>
            <w:tcW w:w="64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Asynchronous event processing using Google Pub/Sub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Peak Traffic</w:t>
            </w:r>
          </w:p>
        </w:tc>
        <w:tc>
          <w:tcPr>
            <w:tcW w:w="64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Horizontal auto scaling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Read-Heavy Workload</w:t>
            </w:r>
          </w:p>
        </w:tc>
        <w:tc>
          <w:tcPr>
            <w:tcW w:w="64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used as the primary read cache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Reporting</w:t>
            </w:r>
          </w:p>
        </w:tc>
        <w:tc>
          <w:tcPr>
            <w:tcW w:w="64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 stores analytical data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 Scaling</w:t>
            </w:r>
          </w:p>
        </w:tc>
        <w:tc>
          <w:tcPr>
            <w:tcW w:w="64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Command and query workloads are scaled independently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Capacity Overview</w:t>
      </w:r>
    </w:p>
    <w:p w:rsidR="00CB2660" w:rsidRDefault="000C46DA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1781175" cy="2628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Pr="003C73E5" w:rsidRDefault="000C46DA" w:rsidP="003C73E5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5. Architecture Principles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proposed solution is designed using a small set of architectural principles that guide technology selection and system evolution.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Principle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Native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Leverage managed cloud services and containerized workloads.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Event-Driven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 high-volume events asynchronously.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Multi-Tenant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multiple retailers on a shared platform with tenant isolation.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 by Design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Apply authentication, authorization and encryption across all layers.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Independently scale platform components based on workload.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Observability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Enable centralized monitoring, logging and tracing.</w:t>
            </w:r>
          </w:p>
        </w:tc>
      </w:tr>
    </w:tbl>
    <w:p w:rsidR="00CB2660" w:rsidRPr="003C73E5" w:rsidRDefault="000C46DA" w:rsidP="003C73E5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6. Solution Overview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platform follows a hybrid architecture where synchronous APIs are used for client interactions, while asynchronous messaging is used for event processing. This separation improves scalability, resilience and operational flexibility.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Core Components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Com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ponent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Responsibility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entry point and request routing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Collector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 xml:space="preserve">Validate event schema, resolve tenant, generate correlation ID, validate authentication context, normalize payloads, enforce </w:t>
            </w:r>
            <w:proofErr w:type="spellStart"/>
            <w:r>
              <w:rPr>
                <w:rFonts w:ascii="Calibri" w:eastAsia="Calibri" w:hAnsi="Calibri" w:cs="Calibri"/>
              </w:rPr>
              <w:t>idempotency</w:t>
            </w:r>
            <w:proofErr w:type="spellEnd"/>
            <w:r>
              <w:rPr>
                <w:rFonts w:ascii="Calibri" w:eastAsia="Calibri" w:hAnsi="Calibri" w:cs="Calibri"/>
              </w:rPr>
              <w:t>, publish events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Pub/Sub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Reliable event transport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 and enrich events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Aggregator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Calculate campaign metrics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cache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analytics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Insights API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Expose campaign insights. Serves two query modes: real-time queries read live, atomically-maintained counters directly from Redis, current as of the last processed event with no cache expiry; if a counter is not yet present in Redis (for example immediatel</w:t>
            </w:r>
            <w:r>
              <w:rPr>
                <w:rFonts w:ascii="Calibri" w:eastAsia="Calibri" w:hAnsi="Calibri" w:cs="Calibri"/>
              </w:rPr>
              <w:t>y after a cold start, before recovery completes), the query falls back to the last durable snapshot in the analytics store. Historical queries (with a 'from' and 'to' date range) are routed to BigQuery, which holds the full event history. The routing decis</w:t>
            </w:r>
            <w:r>
              <w:rPr>
                <w:rFonts w:ascii="Calibri" w:eastAsia="Calibri" w:hAnsi="Calibri" w:cs="Calibri"/>
              </w:rPr>
              <w:t>ion is made inside the query handler, which maps HTTP parameters to a query object without the controller being aware of which store is used.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Insights API Reference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Insights API exposes three endpoints for campaign performance, matching the required design: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93"/>
        <w:gridCol w:w="5027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Endpoint</w:t>
            </w:r>
          </w:p>
        </w:tc>
        <w:tc>
          <w:tcPr>
            <w:tcW w:w="48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Returns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GET /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>/v1/ad/{</w:t>
            </w:r>
            <w:proofErr w:type="spellStart"/>
            <w:r>
              <w:rPr>
                <w:rFonts w:ascii="Calibri" w:eastAsia="Calibri" w:hAnsi="Calibri" w:cs="Calibri"/>
              </w:rPr>
              <w:t>campaignId</w:t>
            </w:r>
            <w:proofErr w:type="spellEnd"/>
            <w:r>
              <w:rPr>
                <w:rFonts w:ascii="Calibri" w:eastAsia="Calibri" w:hAnsi="Calibri" w:cs="Calibri"/>
              </w:rPr>
              <w:t>}/clicks</w:t>
            </w:r>
          </w:p>
        </w:tc>
        <w:tc>
          <w:tcPr>
            <w:tcW w:w="4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The number of customers who clicked on the ad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GET /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>/v1/ad/{</w:t>
            </w:r>
            <w:proofErr w:type="spellStart"/>
            <w:r>
              <w:rPr>
                <w:rFonts w:ascii="Calibri" w:eastAsia="Calibri" w:hAnsi="Calibri" w:cs="Calibri"/>
              </w:rPr>
              <w:t>campaignId</w:t>
            </w:r>
            <w:proofErr w:type="spellEnd"/>
            <w:r>
              <w:rPr>
                <w:rFonts w:ascii="Calibri" w:eastAsia="Calibri" w:hAnsi="Calibri" w:cs="Calibri"/>
              </w:rPr>
              <w:t>}/impressions</w:t>
            </w:r>
          </w:p>
        </w:tc>
        <w:tc>
          <w:tcPr>
            <w:tcW w:w="4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The number of customers who viewed the ad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GET /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>/v1/ad/{</w:t>
            </w:r>
            <w:proofErr w:type="spellStart"/>
            <w:r>
              <w:rPr>
                <w:rFonts w:ascii="Calibri" w:eastAsia="Calibri" w:hAnsi="Calibri" w:cs="Calibri"/>
              </w:rPr>
              <w:t>campaignId</w:t>
            </w:r>
            <w:proofErr w:type="spellEnd"/>
            <w:r>
              <w:rPr>
                <w:rFonts w:ascii="Calibri" w:eastAsia="Calibri" w:hAnsi="Calibri" w:cs="Calibri"/>
              </w:rPr>
              <w:t>}/</w:t>
            </w:r>
            <w:proofErr w:type="spellStart"/>
            <w:r>
              <w:rPr>
                <w:rFonts w:ascii="Calibri" w:eastAsia="Calibri" w:hAnsi="Calibri" w:cs="Calibri"/>
              </w:rPr>
              <w:t>clickToBasket</w:t>
            </w:r>
            <w:proofErr w:type="spellEnd"/>
          </w:p>
        </w:tc>
        <w:tc>
          <w:tcPr>
            <w:tcW w:w="4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The number of customers who added a product to their cart after clicking on the ad</w:t>
            </w:r>
          </w:p>
        </w:tc>
      </w:tr>
    </w:tbl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current </w:t>
      </w:r>
      <w:proofErr w:type="spellStart"/>
      <w:r>
        <w:rPr>
          <w:rFonts w:ascii="Calibri" w:eastAsia="Calibri" w:hAnsi="Calibri" w:cs="Calibri"/>
          <w:sz w:val="22"/>
          <w:szCs w:val="22"/>
        </w:rPr>
        <w:t>EventType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vocabulary (Click, Impression, Basket) is deliberately scoped to the three ad-engagement events these endpoints require. Broader customer interaction events described in the platform's objective, such as a generic product view not tie</w:t>
      </w:r>
      <w:r>
        <w:rPr>
          <w:rFonts w:ascii="Calibri" w:eastAsia="Calibri" w:hAnsi="Calibri" w:cs="Calibri"/>
          <w:sz w:val="22"/>
          <w:szCs w:val="22"/>
        </w:rPr>
        <w:t xml:space="preserve">d to an ad, are a natural extension of this model rather than a redesign: </w:t>
      </w:r>
      <w:proofErr w:type="spellStart"/>
      <w:r>
        <w:rPr>
          <w:rFonts w:ascii="Calibri" w:eastAsia="Calibri" w:hAnsi="Calibri" w:cs="Calibri"/>
          <w:sz w:val="22"/>
          <w:szCs w:val="22"/>
        </w:rPr>
        <w:t>EventType.All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is the single source of truth both the Collector's validator and the Aggregator reference, so adding a new event type is a small, additive change, not a structural one.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Solution Overview Diagram</w:t>
      </w:r>
    </w:p>
    <w:p w:rsidR="00CB2660" w:rsidRDefault="000C46DA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2609850" cy="47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Pr="003E740A" w:rsidRDefault="000C46DA" w:rsidP="003E740A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7. End-to-End Data Flow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platform captures customer interactions from retailer applications, validates each request, processes events asynchronously, and generates campaign insights that are exposed through secure APIs.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Pr</w:t>
      </w:r>
      <w:r>
        <w:rPr>
          <w:rFonts w:ascii="Calibri" w:eastAsia="Calibri" w:hAnsi="Calibri" w:cs="Calibri"/>
          <w:b/>
          <w:bCs/>
          <w:sz w:val="25"/>
          <w:szCs w:val="25"/>
        </w:rPr>
        <w:t>ocessing Flow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Event Processor enriches each event with session context. The retailer SDK generates a </w:t>
      </w:r>
      <w:proofErr w:type="spellStart"/>
      <w:r>
        <w:rPr>
          <w:rFonts w:ascii="Calibri" w:eastAsia="Calibri" w:hAnsi="Calibri" w:cs="Calibri"/>
          <w:sz w:val="22"/>
          <w:szCs w:val="22"/>
        </w:rPr>
        <w:t>SessionId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when a user lands on the page and passes it with every subsequent event during that visit. </w:t>
      </w:r>
      <w:proofErr w:type="spellStart"/>
      <w:r>
        <w:rPr>
          <w:rFonts w:ascii="Calibri" w:eastAsia="Calibri" w:hAnsi="Calibri" w:cs="Calibri"/>
          <w:sz w:val="22"/>
          <w:szCs w:val="22"/>
        </w:rPr>
        <w:t>ClickToBasket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conversion is calculated at the session level, as </w:t>
      </w:r>
      <w:r>
        <w:rPr>
          <w:rFonts w:ascii="Calibri" w:eastAsia="Calibri" w:hAnsi="Calibri" w:cs="Calibri"/>
          <w:sz w:val="22"/>
          <w:szCs w:val="22"/>
        </w:rPr>
        <w:t>the percentage of sessions containing a click event that also contain a basket event, rather than as a raw ratio of total clicks to total impressions.</w:t>
      </w:r>
    </w:p>
    <w:p w:rsidR="00CB2660" w:rsidRDefault="000C46DA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Session Windowing Implementation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Session windowing is implemented directly within the Event Processor rather than through a dedicated stream processing framework. Each event's </w:t>
      </w:r>
      <w:proofErr w:type="spellStart"/>
      <w:r>
        <w:rPr>
          <w:rFonts w:ascii="Calibri" w:eastAsia="Calibri" w:hAnsi="Calibri" w:cs="Calibri"/>
          <w:sz w:val="22"/>
          <w:szCs w:val="22"/>
        </w:rPr>
        <w:t>SessionId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is used as a Redis key that accumulates event types as they arrive; </w:t>
      </w:r>
      <w:proofErr w:type="spellStart"/>
      <w:r>
        <w:rPr>
          <w:rFonts w:ascii="Calibri" w:eastAsia="Calibri" w:hAnsi="Calibri" w:cs="Calibri"/>
          <w:sz w:val="22"/>
          <w:szCs w:val="22"/>
        </w:rPr>
        <w:t>Redis's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native key expiry (TTL, res</w:t>
      </w:r>
      <w:r>
        <w:rPr>
          <w:rFonts w:ascii="Calibri" w:eastAsia="Calibri" w:hAnsi="Calibri" w:cs="Calibri"/>
          <w:sz w:val="22"/>
          <w:szCs w:val="22"/>
        </w:rPr>
        <w:t xml:space="preserve">et on every new event for that session) acts as the inactivity timer. Redis </w:t>
      </w:r>
      <w:proofErr w:type="spellStart"/>
      <w:r>
        <w:rPr>
          <w:rFonts w:ascii="Calibri" w:eastAsia="Calibri" w:hAnsi="Calibri" w:cs="Calibri"/>
          <w:sz w:val="22"/>
          <w:szCs w:val="22"/>
        </w:rPr>
        <w:t>keyspace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notifications are used to detect the expiry event itself, since TTL expiry alone is passive and the application needs an explicit trigger to know when to run the finalizat</w:t>
      </w:r>
      <w:r>
        <w:rPr>
          <w:rFonts w:ascii="Calibri" w:eastAsia="Calibri" w:hAnsi="Calibri" w:cs="Calibri"/>
          <w:sz w:val="22"/>
          <w:szCs w:val="22"/>
        </w:rPr>
        <w:t xml:space="preserve">ion step; when 30 minutes pass with no new event for a given </w:t>
      </w:r>
      <w:proofErr w:type="spellStart"/>
      <w:r>
        <w:rPr>
          <w:rFonts w:ascii="Calibri" w:eastAsia="Calibri" w:hAnsi="Calibri" w:cs="Calibri"/>
          <w:sz w:val="22"/>
          <w:szCs w:val="22"/>
        </w:rPr>
        <w:t>SessionId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the </w:t>
      </w:r>
      <w:proofErr w:type="spellStart"/>
      <w:r>
        <w:rPr>
          <w:rFonts w:ascii="Calibri" w:eastAsia="Calibri" w:hAnsi="Calibri" w:cs="Calibri"/>
          <w:sz w:val="22"/>
          <w:szCs w:val="22"/>
        </w:rPr>
        <w:t>keyspace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notification fires and a finalization step </w:t>
      </w:r>
      <w:r>
        <w:rPr>
          <w:rFonts w:ascii="Calibri" w:eastAsia="Calibri" w:hAnsi="Calibri" w:cs="Calibri"/>
          <w:sz w:val="22"/>
          <w:szCs w:val="22"/>
        </w:rPr>
        <w:lastRenderedPageBreak/>
        <w:t xml:space="preserve">reads the accumulated state before it is gone, writing it to the 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CustomerSession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read model. This gives session-window semantics</w:t>
      </w:r>
      <w:r>
        <w:rPr>
          <w:rFonts w:ascii="Calibri" w:eastAsia="Calibri" w:hAnsi="Calibri" w:cs="Calibri"/>
          <w:sz w:val="22"/>
          <w:szCs w:val="22"/>
        </w:rPr>
        <w:t xml:space="preserve"> without introducing a new infrastructure component, since Redis is already part of the platform's caching layer.</w:t>
      </w:r>
    </w:p>
    <w:p w:rsidR="00CB2660" w:rsidRPr="00FE7823" w:rsidRDefault="000C46DA" w:rsidP="00FE7823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8. Deployment Architecture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solution is deployed on Google Cloud Platform (GCP) using managed services to simplify operations, improve sc</w:t>
      </w:r>
      <w:r>
        <w:rPr>
          <w:rFonts w:ascii="Calibri" w:eastAsia="Calibri" w:hAnsi="Calibri" w:cs="Calibri"/>
          <w:sz w:val="22"/>
          <w:szCs w:val="22"/>
        </w:rPr>
        <w:t>alability, and reduce infrastructure management.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Deployment Components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Layer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Technology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Global Load Balancer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Cloud Load Balancer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Platform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Kubernetes Engine (GKE)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Messaging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Database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 Manager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Monitoring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 &amp; Cloud Logging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Scaling Strategy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Each service scales independently based on its own workload instead of scaling the entire platform. This minimizes infrastructure cost while preventing bottlenecks caused by unrelated workloads.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Service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Scaling Trigger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HTTP request rate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Collector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Incoming ingestion requests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Processor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Pub/Sub subscription backlog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Aggregator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Aggregation queue depth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Insights API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Dashboard/API requests</w:t>
            </w:r>
          </w:p>
        </w:tc>
      </w:tr>
    </w:tbl>
    <w:p w:rsidR="00CB2660" w:rsidRDefault="00CB2660">
      <w:pPr>
        <w:spacing w:after="140"/>
      </w:pPr>
    </w:p>
    <w:p w:rsidR="00CB2660" w:rsidRDefault="000C46DA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Event Stream Partitioning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Google Pub/Sub subscriptions for the Processing and Aggregation consumers are configured with message ordering enabled, using </w:t>
      </w:r>
      <w:proofErr w:type="spellStart"/>
      <w:r>
        <w:rPr>
          <w:rFonts w:ascii="Calibri" w:eastAsia="Calibri" w:hAnsi="Calibri" w:cs="Calibri"/>
          <w:sz w:val="22"/>
          <w:szCs w:val="22"/>
        </w:rPr>
        <w:t>CampaignId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as the ordering key. This guarantees all events for a given campaign are delivered sequentially to the same consumer in</w:t>
      </w:r>
      <w:r>
        <w:rPr>
          <w:rFonts w:ascii="Calibri" w:eastAsia="Calibri" w:hAnsi="Calibri" w:cs="Calibri"/>
          <w:sz w:val="22"/>
          <w:szCs w:val="22"/>
        </w:rPr>
        <w:t xml:space="preserve">stance, preserving order for accurate aggregation. At the </w:t>
      </w:r>
      <w:r>
        <w:rPr>
          <w:rFonts w:ascii="Calibri" w:eastAsia="Calibri" w:hAnsi="Calibri" w:cs="Calibri"/>
          <w:sz w:val="22"/>
          <w:szCs w:val="22"/>
        </w:rPr>
        <w:lastRenderedPageBreak/>
        <w:t xml:space="preserve">ingest side, the Event Collector publishes using </w:t>
      </w:r>
      <w:proofErr w:type="spellStart"/>
      <w:r>
        <w:rPr>
          <w:rFonts w:ascii="Calibri" w:eastAsia="Calibri" w:hAnsi="Calibri" w:cs="Calibri"/>
          <w:sz w:val="22"/>
          <w:szCs w:val="22"/>
        </w:rPr>
        <w:t>TenantId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as the ordering key, distributing load evenly across partitions while keeping each tenant's events on a consistent partition.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Deployment Dia</w:t>
      </w:r>
      <w:r>
        <w:rPr>
          <w:rFonts w:ascii="Calibri" w:eastAsia="Calibri" w:hAnsi="Calibri" w:cs="Calibri"/>
          <w:b/>
          <w:bCs/>
          <w:sz w:val="25"/>
          <w:szCs w:val="25"/>
        </w:rPr>
        <w:t>gram</w:t>
      </w:r>
    </w:p>
    <w:p w:rsidR="00CB2660" w:rsidRDefault="000C46DA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2009775" cy="3019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Pr="00067A2C" w:rsidRDefault="000C46DA" w:rsidP="00067A2C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9. Security Architecture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S</w:t>
      </w:r>
      <w:r>
        <w:rPr>
          <w:rFonts w:ascii="Calibri" w:eastAsia="Calibri" w:hAnsi="Calibri" w:cs="Calibri"/>
          <w:sz w:val="22"/>
          <w:szCs w:val="22"/>
        </w:rPr>
        <w:t xml:space="preserve">ecurity is implemented across every layer of the platform to protect customer data, tenant information, and platform resources. The solution follows a </w:t>
      </w:r>
      <w:proofErr w:type="spellStart"/>
      <w:r>
        <w:rPr>
          <w:rFonts w:ascii="Calibri" w:eastAsia="Calibri" w:hAnsi="Calibri" w:cs="Calibri"/>
          <w:sz w:val="22"/>
          <w:szCs w:val="22"/>
        </w:rPr>
        <w:t>defense</w:t>
      </w:r>
      <w:proofErr w:type="spellEnd"/>
      <w:r>
        <w:rPr>
          <w:rFonts w:ascii="Calibri" w:eastAsia="Calibri" w:hAnsi="Calibri" w:cs="Calibri"/>
          <w:sz w:val="22"/>
          <w:szCs w:val="22"/>
        </w:rPr>
        <w:t>-in-depth approach using industry-standard authentication, auth</w:t>
      </w:r>
      <w:r>
        <w:rPr>
          <w:rFonts w:ascii="Calibri" w:eastAsia="Calibri" w:hAnsi="Calibri" w:cs="Calibri"/>
          <w:sz w:val="22"/>
          <w:szCs w:val="22"/>
        </w:rPr>
        <w:t>orization, encryption, and secret management.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Security Controls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Implementation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Authentication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OAuth 2.0 + JWT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Authorization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Role-Based Access Control (RBAC)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Tenant Isolation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Tenant ID validation for every request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Rate Limiting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Per-tenant sliding window counter in Redis. Default 10,000 events/minute per tenant, configurable per tenant.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Encryption in Transit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HTTPS (TLS 1.3)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Encryption at Rest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Cloud-managed encryption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Secret Manager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Audit Logging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audit logs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lastRenderedPageBreak/>
        <w:t>Tenant-Specific Configuration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Beyond data access controls and resource allocation, each tenant carries its own configuration profile rather than sharing one global setting. This is </w:t>
      </w:r>
      <w:proofErr w:type="spellStart"/>
      <w:r>
        <w:rPr>
          <w:rFonts w:ascii="Calibri" w:eastAsia="Calibri" w:hAnsi="Calibri" w:cs="Calibri"/>
          <w:sz w:val="22"/>
          <w:szCs w:val="22"/>
        </w:rPr>
        <w:t>modeled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as a per-tenant options record, resolved al</w:t>
      </w:r>
      <w:r>
        <w:rPr>
          <w:rFonts w:ascii="Calibri" w:eastAsia="Calibri" w:hAnsi="Calibri" w:cs="Calibri"/>
          <w:sz w:val="22"/>
          <w:szCs w:val="22"/>
        </w:rPr>
        <w:t>ongside tenant identity at request time, and covers settings such as the per-tenant rate limit threshold, retention overrides for tenants with specific compliance requirements, and feature flags for tenants participating in a staged rollout of new event ty</w:t>
      </w:r>
      <w:r>
        <w:rPr>
          <w:rFonts w:ascii="Calibri" w:eastAsia="Calibri" w:hAnsi="Calibri" w:cs="Calibri"/>
          <w:sz w:val="22"/>
          <w:szCs w:val="22"/>
        </w:rPr>
        <w:t xml:space="preserve">pes or API capabilities. Because this configuration is resolved per-request from the tenant context rather than baked into a single global </w:t>
      </w:r>
      <w:proofErr w:type="spellStart"/>
      <w:r>
        <w:rPr>
          <w:rFonts w:ascii="Calibri" w:eastAsia="Calibri" w:hAnsi="Calibri" w:cs="Calibri"/>
          <w:sz w:val="22"/>
          <w:szCs w:val="22"/>
        </w:rPr>
        <w:t>appsettings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file, </w:t>
      </w:r>
      <w:proofErr w:type="spellStart"/>
      <w:r>
        <w:rPr>
          <w:rFonts w:ascii="Calibri" w:eastAsia="Calibri" w:hAnsi="Calibri" w:cs="Calibri"/>
          <w:sz w:val="22"/>
          <w:szCs w:val="22"/>
        </w:rPr>
        <w:t>onboarding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 new tenant or adjusting one tenant's limits does not require redeploying the platform </w:t>
      </w:r>
      <w:r>
        <w:rPr>
          <w:rFonts w:ascii="Calibri" w:eastAsia="Calibri" w:hAnsi="Calibri" w:cs="Calibri"/>
          <w:sz w:val="22"/>
          <w:szCs w:val="22"/>
        </w:rPr>
        <w:t>or affecting any other tenant.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Security Flow</w:t>
      </w:r>
    </w:p>
    <w:p w:rsidR="00CB2660" w:rsidRDefault="000C46DA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1781175" cy="3333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Pr="002345F6" w:rsidRDefault="000C46DA" w:rsidP="002345F6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10. Data Architecture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platform separates operational, caching, and analytical workloads to improve scalability, maintainability, and reporting performance.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Data Stores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Data Store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system of record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Low-latency cache for dashboards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analytics and reporting</w:t>
            </w:r>
          </w:p>
        </w:tc>
      </w:tr>
    </w:tbl>
    <w:p w:rsidR="00CB2660" w:rsidRDefault="000C46DA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2924175" cy="34004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Data Strategy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Approach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Cached Data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Analytics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Optimization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Redis-first strategy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 Updates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Asynchronous processing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CQRS Approach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platform follows a logical Command Query Responsibility Segregation (CQRS) pattern.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Customer events are processed through the command path, where operational data is persisted and domain events are published.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Analytical queries are served through dedicated read models backed by Redis and BigQuery, ensuring that reporting workloads never i</w:t>
      </w:r>
      <w:r>
        <w:rPr>
          <w:rFonts w:ascii="Calibri" w:eastAsia="Calibri" w:hAnsi="Calibri" w:cs="Calibri"/>
          <w:sz w:val="22"/>
          <w:szCs w:val="22"/>
        </w:rPr>
        <w:t>mpact transactional processing.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This separation enables independent scaling of write-intensive ingestion and read-intensive analytical APIs while maintaining clear ownership of operational and analytical data.</w:t>
      </w:r>
    </w:p>
    <w:p w:rsidR="00CB2660" w:rsidRDefault="000C46DA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Session Read Model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Aggregator maintains a 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CustomerSession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read model alongside </w:t>
      </w:r>
      <w:proofErr w:type="spellStart"/>
      <w:r>
        <w:rPr>
          <w:rFonts w:ascii="Calibri" w:eastAsia="Calibri" w:hAnsi="Calibri" w:cs="Calibri"/>
          <w:sz w:val="22"/>
          <w:szCs w:val="22"/>
        </w:rPr>
        <w:t>CampaignMetrics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accumulating event types per </w:t>
      </w:r>
      <w:proofErr w:type="spellStart"/>
      <w:r>
        <w:rPr>
          <w:rFonts w:ascii="Calibri" w:eastAsia="Calibri" w:hAnsi="Calibri" w:cs="Calibri"/>
          <w:sz w:val="22"/>
          <w:szCs w:val="22"/>
        </w:rPr>
        <w:t>SessionId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finalizing the record once the inactivity window expires. Campaign-level conversion metrics are derived from finalized session records.</w:t>
      </w:r>
    </w:p>
    <w:p w:rsidR="00CB2660" w:rsidRDefault="000C46DA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lastRenderedPageBreak/>
        <w:t>Cache Recovery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Redis co</w:t>
      </w:r>
      <w:r>
        <w:rPr>
          <w:rFonts w:ascii="Calibri" w:eastAsia="Calibri" w:hAnsi="Calibri" w:cs="Calibri"/>
          <w:sz w:val="22"/>
          <w:szCs w:val="22"/>
        </w:rPr>
        <w:t xml:space="preserve">unters are the live source of truth for real-time metrics, not a disposable cache, so a Redis restart would otherwise lose all in-flight campaign counts. A recovery process runs at Aggregator </w:t>
      </w:r>
      <w:proofErr w:type="spellStart"/>
      <w:r>
        <w:rPr>
          <w:rFonts w:ascii="Calibri" w:eastAsia="Calibri" w:hAnsi="Calibri" w:cs="Calibri"/>
          <w:sz w:val="22"/>
          <w:szCs w:val="22"/>
        </w:rPr>
        <w:t>startup</w:t>
      </w:r>
      <w:proofErr w:type="spellEnd"/>
      <w:r>
        <w:rPr>
          <w:rFonts w:ascii="Calibri" w:eastAsia="Calibri" w:hAnsi="Calibri" w:cs="Calibri"/>
          <w:sz w:val="22"/>
          <w:szCs w:val="22"/>
        </w:rPr>
        <w:t>: if the cache is found empty, counters are re-seeded fro</w:t>
      </w:r>
      <w:r>
        <w:rPr>
          <w:rFonts w:ascii="Calibri" w:eastAsia="Calibri" w:hAnsi="Calibri" w:cs="Calibri"/>
          <w:sz w:val="22"/>
          <w:szCs w:val="22"/>
        </w:rPr>
        <w:t>m the last durable snapshot in the analytics store before any live event processing resumes. Live event subscription is deliberately withheld until recovery completes, preventing a race between seeded values and concurrently-arriving events.</w:t>
      </w:r>
    </w:p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Data Retentio</w:t>
      </w:r>
      <w:r>
        <w:rPr>
          <w:rFonts w:ascii="Calibri" w:eastAsia="Calibri" w:hAnsi="Calibri" w:cs="Calibri"/>
          <w:b/>
          <w:bCs/>
          <w:sz w:val="25"/>
          <w:szCs w:val="25"/>
        </w:rPr>
        <w:t>n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2190"/>
        <w:gridCol w:w="481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Store</w:t>
            </w:r>
          </w:p>
        </w:tc>
        <w:tc>
          <w:tcPr>
            <w:tcW w:w="21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Retention Period</w:t>
            </w:r>
          </w:p>
        </w:tc>
        <w:tc>
          <w:tcPr>
            <w:tcW w:w="46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Action on Expiry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 (raw events)</w:t>
            </w:r>
          </w:p>
        </w:tc>
        <w:tc>
          <w:tcPr>
            <w:tcW w:w="2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90 days</w:t>
            </w:r>
          </w:p>
        </w:tc>
        <w:tc>
          <w:tcPr>
            <w:tcW w:w="4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Archive to cold storage or delete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(live counters)</w:t>
            </w:r>
          </w:p>
        </w:tc>
        <w:tc>
          <w:tcPr>
            <w:tcW w:w="21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No expiry</w:t>
            </w:r>
          </w:p>
        </w:tc>
        <w:tc>
          <w:tcPr>
            <w:tcW w:w="4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 xml:space="preserve">Persist for the life of the campaign; reset only by an explicit recovery-seed at </w:t>
            </w:r>
            <w:proofErr w:type="spellStart"/>
            <w:r>
              <w:rPr>
                <w:rFonts w:ascii="Calibri" w:eastAsia="Calibri" w:hAnsi="Calibri" w:cs="Calibri"/>
              </w:rPr>
              <w:t>startup</w:t>
            </w:r>
            <w:proofErr w:type="spellEnd"/>
            <w:r>
              <w:rPr>
                <w:rFonts w:ascii="Calibri" w:eastAsia="Calibri" w:hAnsi="Calibri" w:cs="Calibri"/>
              </w:rPr>
              <w:t>, never by time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 (analytics)</w:t>
            </w:r>
          </w:p>
        </w:tc>
        <w:tc>
          <w:tcPr>
            <w:tcW w:w="2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3 years</w:t>
            </w:r>
          </w:p>
        </w:tc>
        <w:tc>
          <w:tcPr>
            <w:tcW w:w="4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Move to long-term BigQuery storage tier (lower cost)</w:t>
            </w:r>
          </w:p>
        </w:tc>
      </w:tr>
    </w:tbl>
    <w:p w:rsidR="00CB2660" w:rsidRDefault="00CB2660">
      <w:pPr>
        <w:spacing w:after="120"/>
      </w:pP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Customer interaction events contain a 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which may be considered personal data depending on jurisdiction. A soft-delete flag on 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CustomerEvent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allows the system to mark events for erasure without immediate deletion. A scheduled job permanently remo</w:t>
      </w:r>
      <w:r>
        <w:rPr>
          <w:rFonts w:ascii="Calibri" w:eastAsia="Calibri" w:hAnsi="Calibri" w:cs="Calibri"/>
          <w:sz w:val="22"/>
          <w:szCs w:val="22"/>
        </w:rPr>
        <w:t>ves flagged records after 30 days, satisfying most right-to-erasure timelines.</w:t>
      </w:r>
    </w:p>
    <w:p w:rsidR="00CB2660" w:rsidRPr="00FC3088" w:rsidRDefault="000C46DA" w:rsidP="00FC3088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11. Observability &amp; Reliability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platform is designed to provide operational visibility and resilience through centralized monitoring, distributed tracing, health checks, a</w:t>
      </w:r>
      <w:r>
        <w:rPr>
          <w:rFonts w:ascii="Calibri" w:eastAsia="Calibri" w:hAnsi="Calibri" w:cs="Calibri"/>
          <w:sz w:val="22"/>
          <w:szCs w:val="22"/>
        </w:rPr>
        <w:t>nd automated recovery mechanisms.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Observability Components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Implementation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Logging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Logging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Monitoring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Distributed Tracing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Open Telemetry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Health Checks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Liveness &amp; Readiness Probes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Alerting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 Alerts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Reliability Features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Feature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Retry Policy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transient failures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Dead Letter Queue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Capture failed events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 Scaling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traffic spikes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Health Checks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Automatic service recovery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Correlation ID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End-to-end request tracing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Failure Handling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6383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Failure Scenario</w:t>
            </w:r>
          </w:p>
        </w:tc>
        <w:tc>
          <w:tcPr>
            <w:tcW w:w="61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Platform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Behavior</w:t>
            </w:r>
            <w:proofErr w:type="spellEnd"/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processing failure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Automatic retry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Retry limit exceeded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moved to Dead Letter Queue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restarted or flushed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 xml:space="preserve">Recovery service detects an empty cache at </w:t>
            </w:r>
            <w:proofErr w:type="spellStart"/>
            <w:r>
              <w:rPr>
                <w:rFonts w:ascii="Calibri" w:eastAsia="Calibri" w:hAnsi="Calibri" w:cs="Calibri"/>
              </w:rPr>
              <w:t>startup</w:t>
            </w:r>
            <w:proofErr w:type="spellEnd"/>
            <w:r>
              <w:rPr>
                <w:rFonts w:ascii="Calibri" w:eastAsia="Calibri" w:hAnsi="Calibri" w:cs="Calibri"/>
              </w:rPr>
              <w:t xml:space="preserve"> and re-seeds all counters from the last durable snapshot before resuming live event processing; queries fall back to the last snapshot in the interim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Processor unavailable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Events remain in Pub/Sub u</w:t>
            </w:r>
            <w:r>
              <w:rPr>
                <w:rFonts w:ascii="Calibri" w:eastAsia="Calibri" w:hAnsi="Calibri" w:cs="Calibri"/>
              </w:rPr>
              <w:t>ntil consumers recover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Aggregator unavailable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processing continues; aggregation resumes after recovery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Observability Flow</w:t>
      </w:r>
    </w:p>
    <w:p w:rsidR="00CB2660" w:rsidRDefault="000C46DA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2466975" cy="2819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Metrics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following metrics form the operational alerting baseline for the platform.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00"/>
        <w:gridCol w:w="4120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Metric</w:t>
            </w:r>
          </w:p>
        </w:tc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Alert Threshold</w:t>
            </w:r>
          </w:p>
        </w:tc>
        <w:tc>
          <w:tcPr>
            <w:tcW w:w="41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Why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ingestion rate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Drop &gt; 20% from baseline</w:t>
            </w:r>
          </w:p>
        </w:tc>
        <w:tc>
          <w:tcPr>
            <w:tcW w:w="4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Retailer SDK or upstream outage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Processing latency P99</w:t>
            </w:r>
          </w:p>
        </w:tc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2 seconds</w:t>
            </w:r>
          </w:p>
        </w:tc>
        <w:tc>
          <w:tcPr>
            <w:tcW w:w="4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Near-real-time SLA breach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Pub/Sub subscription backlog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10,000 messages</w:t>
            </w:r>
          </w:p>
        </w:tc>
        <w:tc>
          <w:tcPr>
            <w:tcW w:w="4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Consumer falling behind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cache hit ratio</w:t>
            </w:r>
          </w:p>
        </w:tc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&lt; 70%</w:t>
            </w:r>
          </w:p>
        </w:tc>
        <w:tc>
          <w:tcPr>
            <w:tcW w:w="4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Insights API over-hitting BigQuery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Dead letter queue depth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0</w:t>
            </w:r>
          </w:p>
        </w:tc>
        <w:tc>
          <w:tcPr>
            <w:tcW w:w="4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Events being permanently lost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5xx error rate per service</w:t>
            </w:r>
          </w:p>
        </w:tc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1%</w:t>
            </w:r>
          </w:p>
        </w:tc>
        <w:tc>
          <w:tcPr>
            <w:tcW w:w="4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Service degradation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Cost Monitoring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Cost monitoring runs as a background concern across all services. Cloud Billing Export sends daily cost data to BigQuery, surfaced as a dashboard by service, tenant, and resource type, with alerts on per-tenant spend thresholds.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All analytical queries targ</w:t>
      </w:r>
      <w:r>
        <w:rPr>
          <w:rFonts w:ascii="Calibri" w:eastAsia="Calibri" w:hAnsi="Calibri" w:cs="Calibri"/>
          <w:sz w:val="22"/>
          <w:szCs w:val="22"/>
        </w:rPr>
        <w:t xml:space="preserve">et tables partitioned by date and </w:t>
      </w:r>
      <w:proofErr w:type="spellStart"/>
      <w:r>
        <w:rPr>
          <w:rFonts w:ascii="Calibri" w:eastAsia="Calibri" w:hAnsi="Calibri" w:cs="Calibri"/>
          <w:sz w:val="22"/>
          <w:szCs w:val="22"/>
        </w:rPr>
        <w:t>TenantId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to minimize scan cost. Since Redis counters are updated on every event rather than re-fetched on a timer, the cost lever here is write volume to the durable analytics store rather than cache re-fetch frequency; ba</w:t>
      </w:r>
      <w:r>
        <w:rPr>
          <w:rFonts w:ascii="Calibri" w:eastAsia="Calibri" w:hAnsi="Calibri" w:cs="Calibri"/>
          <w:sz w:val="22"/>
          <w:szCs w:val="22"/>
        </w:rPr>
        <w:t xml:space="preserve">tching or </w:t>
      </w:r>
      <w:proofErr w:type="spellStart"/>
      <w:r>
        <w:rPr>
          <w:rFonts w:ascii="Calibri" w:eastAsia="Calibri" w:hAnsi="Calibri" w:cs="Calibri"/>
          <w:sz w:val="22"/>
          <w:szCs w:val="22"/>
        </w:rPr>
        <w:t>debouncing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analytics-store writes is a natural future optimization if per-event write cost becomes significant at higher scale.</w:t>
      </w:r>
    </w:p>
    <w:p w:rsidR="00CB2660" w:rsidRPr="00DA6451" w:rsidRDefault="000C46DA" w:rsidP="00DA6451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12. Technology Decisions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following technologies have been selected based on the functional and non-functional re</w:t>
      </w:r>
      <w:r>
        <w:rPr>
          <w:rFonts w:ascii="Calibri" w:eastAsia="Calibri" w:hAnsi="Calibri" w:cs="Calibri"/>
          <w:sz w:val="22"/>
          <w:szCs w:val="22"/>
        </w:rPr>
        <w:t>quirements of the proposed solution.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Technology Selection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3"/>
        <w:gridCol w:w="3296"/>
        <w:gridCol w:w="3921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Layer</w:t>
            </w:r>
          </w:p>
        </w:tc>
        <w:tc>
          <w:tcPr>
            <w:tcW w:w="316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Technology</w:t>
            </w:r>
          </w:p>
        </w:tc>
        <w:tc>
          <w:tcPr>
            <w:tcW w:w="376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Platform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Cloud Platform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Managed cloud infrastructure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Backend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.NET 9 / C#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Backend services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REST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External communication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Platform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Kubernetes Engine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orchestration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API entry point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Messaging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Event-driven communication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Database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Transactional data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Low-latency reads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reporting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Authentication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OAuth 2.0 + JWT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Identity and access management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Secrets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 Manager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secret storage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Monitoring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and alerting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Logging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Logging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logging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Tracing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Open Telemetry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Distributed tracing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Infrastructure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Terraform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Infrastructure as Code</w:t>
            </w:r>
          </w:p>
        </w:tc>
      </w:tr>
    </w:tbl>
    <w:p w:rsidR="00CB2660" w:rsidRDefault="00CB2660">
      <w:pPr>
        <w:spacing w:after="16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Technology Stack Overview</w:t>
      </w:r>
    </w:p>
    <w:p w:rsidR="00CB2660" w:rsidRDefault="000C46DA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3657600" cy="22383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Pr="008D6DD8" w:rsidRDefault="000C46DA" w:rsidP="008D6DD8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13. Future Roadmap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proposed architecture has been designed to support future enhancements without requiring significant changes to the core platform. The modular and event-driven approach enables new capabilities to be introduced incrementally as business needs evolve.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P</w:t>
      </w:r>
      <w:r>
        <w:rPr>
          <w:rFonts w:ascii="Calibri" w:eastAsia="Calibri" w:hAnsi="Calibri" w:cs="Calibri"/>
          <w:b/>
          <w:bCs/>
          <w:sz w:val="25"/>
          <w:szCs w:val="25"/>
        </w:rPr>
        <w:t>lanned Evolution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8"/>
        <w:gridCol w:w="3859"/>
        <w:gridCol w:w="4193"/>
      </w:tblGrid>
      <w:tr w:rsidR="00CB266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Phase</w:t>
            </w:r>
          </w:p>
        </w:tc>
        <w:tc>
          <w:tcPr>
            <w:tcW w:w="37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Enhancement</w:t>
            </w:r>
          </w:p>
        </w:tc>
        <w:tc>
          <w:tcPr>
            <w:tcW w:w="40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B2660" w:rsidRDefault="000C46DA">
            <w:r>
              <w:rPr>
                <w:rFonts w:ascii="Calibri" w:eastAsia="Calibri" w:hAnsi="Calibri" w:cs="Calibri"/>
                <w:b/>
                <w:bCs/>
                <w:color w:val="FFFFFF"/>
              </w:rPr>
              <w:t>Benefit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1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Retail Media Intelligence Platform</w:t>
            </w:r>
          </w:p>
        </w:tc>
        <w:tc>
          <w:tcPr>
            <w:tcW w:w="40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Foundational event capture and campaign reporting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2</w:t>
            </w:r>
          </w:p>
        </w:tc>
        <w:tc>
          <w:tcPr>
            <w:tcW w:w="3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AI-powered campaign recommendations</w:t>
            </w:r>
          </w:p>
        </w:tc>
        <w:tc>
          <w:tcPr>
            <w:tcW w:w="40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Improve campaign optimization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3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Fraud detection and anomaly monitoring</w:t>
            </w:r>
          </w:p>
        </w:tc>
        <w:tc>
          <w:tcPr>
            <w:tcW w:w="40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Protect campaign spend and data integrity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4</w:t>
            </w:r>
          </w:p>
        </w:tc>
        <w:tc>
          <w:tcPr>
            <w:tcW w:w="3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Multi-region deployment</w:t>
            </w:r>
          </w:p>
        </w:tc>
        <w:tc>
          <w:tcPr>
            <w:tcW w:w="40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Improve availability and disaster recovery</w:t>
            </w:r>
          </w:p>
        </w:tc>
      </w:tr>
      <w:tr w:rsidR="00CB2660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5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Multi-cloud readiness</w:t>
            </w:r>
          </w:p>
        </w:tc>
        <w:tc>
          <w:tcPr>
            <w:tcW w:w="40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CB2660" w:rsidRDefault="000C46DA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Reduce cloud provider dependency</w:t>
            </w:r>
          </w:p>
        </w:tc>
      </w:tr>
    </w:tbl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Future Architecture</w:t>
      </w:r>
    </w:p>
    <w:p w:rsidR="00CB2660" w:rsidRDefault="000C46DA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4752975" cy="2667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660" w:rsidRPr="00412EA9" w:rsidRDefault="000C46DA" w:rsidP="00412EA9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14. Challenges and Trade-offs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his chapter anticipates potential challenges in the platform and explains the trade-offs consciously made between real-time performance, data accuracy, operational complexity, and cost.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14.1 Real-Time Performance vs. Data Acc</w:t>
      </w:r>
      <w:r>
        <w:rPr>
          <w:rFonts w:ascii="Calibri" w:eastAsia="Calibri" w:hAnsi="Calibri" w:cs="Calibri"/>
          <w:b/>
          <w:bCs/>
          <w:sz w:val="25"/>
          <w:szCs w:val="25"/>
        </w:rPr>
        <w:t>uracy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Pub/Sub delivers events at-least-once, not exactly-once. Under network failures or consumer restarts, the same event can be delivered twice. Processing it twice would double-count a click.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 xml:space="preserve">Chosen resolution: Idempotent event handlers using </w:t>
      </w:r>
      <w:proofErr w:type="spellStart"/>
      <w:r>
        <w:rPr>
          <w:rFonts w:ascii="Calibri" w:eastAsia="Calibri" w:hAnsi="Calibri" w:cs="Calibri"/>
          <w:sz w:val="22"/>
          <w:szCs w:val="22"/>
        </w:rPr>
        <w:t>Correlatio</w:t>
      </w:r>
      <w:r>
        <w:rPr>
          <w:rFonts w:ascii="Calibri" w:eastAsia="Calibri" w:hAnsi="Calibri" w:cs="Calibri"/>
          <w:sz w:val="22"/>
          <w:szCs w:val="22"/>
        </w:rPr>
        <w:t>nId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as a deduplication key. This adds a Redis lookup per event but eliminates double-counting.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Alternative rejected: Exactly-once processing via distributed transactions. This guarantees accuracy but adds significant latency (two-phase commit across SQL Server and Pub/Sub acknowledgement) and reduces throughput under load.</w:t>
      </w:r>
    </w:p>
    <w:p w:rsidR="00CB2660" w:rsidRDefault="00CB2660">
      <w:pPr>
        <w:spacing w:after="14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14.2 SQL Server vs. NoSQL for Raw Event Storage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SQL Server provides ACID transactions and a familiar operational model, but its write throughput is lower than purpose-built event stores like Cassandra or </w:t>
      </w:r>
      <w:proofErr w:type="spellStart"/>
      <w:r>
        <w:rPr>
          <w:rFonts w:ascii="Calibri" w:eastAsia="Calibri" w:hAnsi="Calibri" w:cs="Calibri"/>
          <w:sz w:val="22"/>
          <w:szCs w:val="22"/>
        </w:rPr>
        <w:t>DynamoDB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at extreme scale.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Chosen resolution: SQL Se</w:t>
      </w:r>
      <w:r>
        <w:rPr>
          <w:rFonts w:ascii="Calibri" w:eastAsia="Calibri" w:hAnsi="Calibri" w:cs="Calibri"/>
          <w:sz w:val="22"/>
          <w:szCs w:val="22"/>
        </w:rPr>
        <w:t xml:space="preserve">rver with horizontal </w:t>
      </w:r>
      <w:proofErr w:type="spellStart"/>
      <w:r>
        <w:rPr>
          <w:rFonts w:ascii="Calibri" w:eastAsia="Calibri" w:hAnsi="Calibri" w:cs="Calibri"/>
          <w:sz w:val="22"/>
          <w:szCs w:val="22"/>
        </w:rPr>
        <w:t>sharding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by </w:t>
      </w:r>
      <w:proofErr w:type="spellStart"/>
      <w:r>
        <w:rPr>
          <w:rFonts w:ascii="Calibri" w:eastAsia="Calibri" w:hAnsi="Calibri" w:cs="Calibri"/>
          <w:sz w:val="22"/>
          <w:szCs w:val="22"/>
        </w:rPr>
        <w:t>TenantId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for the first phase. The </w:t>
      </w:r>
      <w:proofErr w:type="spellStart"/>
      <w:r>
        <w:rPr>
          <w:rFonts w:ascii="Calibri" w:eastAsia="Calibri" w:hAnsi="Calibri" w:cs="Calibri"/>
          <w:sz w:val="22"/>
          <w:szCs w:val="22"/>
        </w:rPr>
        <w:t>IRawEventStore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interface isolates this decision, so migrating to Cassandra later is an infrastructure change, not a business logic change.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Snowflake was also considered as an alternative to</w:t>
      </w:r>
      <w:r>
        <w:rPr>
          <w:rFonts w:ascii="Calibri" w:eastAsia="Calibri" w:hAnsi="Calibri" w:cs="Calibri"/>
          <w:sz w:val="22"/>
          <w:szCs w:val="22"/>
        </w:rPr>
        <w:t xml:space="preserve"> BigQuery for the analytical store. BigQuery was chosen for its native GCP integration and consistency with the rest of the managed-service stack; Snowflake is cloud-agnostic and would be a reasonable choice in a multi-cloud strategy, at the cost of an add</w:t>
      </w:r>
      <w:r>
        <w:rPr>
          <w:rFonts w:ascii="Calibri" w:eastAsia="Calibri" w:hAnsi="Calibri" w:cs="Calibri"/>
          <w:sz w:val="22"/>
          <w:szCs w:val="22"/>
        </w:rPr>
        <w:t>itional vendor relationship and separate data pipeline tooling outside the GCP ecosystem this platform is built on.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Trigger to revisit: when single SQL Server instance write throughput exceeds 80% capacity at peak load.</w:t>
      </w:r>
    </w:p>
    <w:p w:rsidR="00CB2660" w:rsidRDefault="00CB2660">
      <w:pPr>
        <w:spacing w:after="14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14.3 Eventual Consistency in the An</w:t>
      </w:r>
      <w:r>
        <w:rPr>
          <w:rFonts w:ascii="Calibri" w:eastAsia="Calibri" w:hAnsi="Calibri" w:cs="Calibri"/>
          <w:b/>
          <w:bCs/>
          <w:sz w:val="25"/>
          <w:szCs w:val="25"/>
        </w:rPr>
        <w:t>alytics Pipeline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path from event ingestion to a readable metric involves four steps: Collector persists, Pub/Sub delivers, Processor enriches, Aggregator writes. Each step adds latency. A marketer querying immediately after an event fires may not see i</w:t>
      </w:r>
      <w:r>
        <w:rPr>
          <w:rFonts w:ascii="Calibri" w:eastAsia="Calibri" w:hAnsi="Calibri" w:cs="Calibri"/>
          <w:sz w:val="22"/>
          <w:szCs w:val="22"/>
        </w:rPr>
        <w:t>t reflected for several seconds.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Chosen resolution: Near-real-time is sufficient for campaign reporting. Metrics dashboards do not need sub-second accuracy. This allows each component to be independently scaled and deployed without synchronisation.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Not app</w:t>
      </w:r>
      <w:r>
        <w:rPr>
          <w:rFonts w:ascii="Calibri" w:eastAsia="Calibri" w:hAnsi="Calibri" w:cs="Calibri"/>
          <w:sz w:val="22"/>
          <w:szCs w:val="22"/>
        </w:rPr>
        <w:t>ropriate for: billing or financial reporting, which would require stronger consistency guarantees.</w:t>
      </w:r>
    </w:p>
    <w:p w:rsidR="00CB2660" w:rsidRDefault="00CB2660">
      <w:pPr>
        <w:spacing w:after="14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14.4 Shared Platform vs. Dedicated Infrastructure per Tenant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 shared platform (one Pub/Sub topic, one GKE cluster) reduces cost but introduces the noisy ne</w:t>
      </w:r>
      <w:r>
        <w:rPr>
          <w:rFonts w:ascii="Calibri" w:eastAsia="Calibri" w:hAnsi="Calibri" w:cs="Calibri"/>
          <w:sz w:val="22"/>
          <w:szCs w:val="22"/>
        </w:rPr>
        <w:t>ighbour problem, where one high-volume tenant degrades processing for others.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 xml:space="preserve">Chosen resolution: Rate limiting per tenant at the Collector layer controls event volume. Pub/Sub partitioning by </w:t>
      </w:r>
      <w:proofErr w:type="spellStart"/>
      <w:r>
        <w:rPr>
          <w:rFonts w:ascii="Calibri" w:eastAsia="Calibri" w:hAnsi="Calibri" w:cs="Calibri"/>
          <w:sz w:val="22"/>
          <w:szCs w:val="22"/>
        </w:rPr>
        <w:t>TenantId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ensures fair scheduling. Resource quotas at the GKE nam</w:t>
      </w:r>
      <w:r>
        <w:rPr>
          <w:rFonts w:ascii="Calibri" w:eastAsia="Calibri" w:hAnsi="Calibri" w:cs="Calibri"/>
          <w:sz w:val="22"/>
          <w:szCs w:val="22"/>
        </w:rPr>
        <w:t>espace level isolate compute.</w:t>
      </w:r>
    </w:p>
    <w:p w:rsidR="00CB2660" w:rsidRDefault="00CB2660">
      <w:pPr>
        <w:spacing w:after="14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14.5 Custom Windowing vs. a Dedicated Stream Processing Framework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Frameworks like Google Cloud Dataflow (Apache Beam), </w:t>
      </w:r>
      <w:proofErr w:type="spellStart"/>
      <w:r>
        <w:rPr>
          <w:rFonts w:ascii="Calibri" w:eastAsia="Calibri" w:hAnsi="Calibri" w:cs="Calibri"/>
          <w:sz w:val="22"/>
          <w:szCs w:val="22"/>
        </w:rPr>
        <w:t>Flink</w:t>
      </w:r>
      <w:proofErr w:type="spellEnd"/>
      <w:r>
        <w:rPr>
          <w:rFonts w:ascii="Calibri" w:eastAsia="Calibri" w:hAnsi="Calibri" w:cs="Calibri"/>
          <w:sz w:val="22"/>
          <w:szCs w:val="22"/>
        </w:rPr>
        <w:t>, or Kafka Streams provide native, robust support for session windowing, watermarking, and late-arriv</w:t>
      </w:r>
      <w:r>
        <w:rPr>
          <w:rFonts w:ascii="Calibri" w:eastAsia="Calibri" w:hAnsi="Calibri" w:cs="Calibri"/>
          <w:sz w:val="22"/>
          <w:szCs w:val="22"/>
        </w:rPr>
        <w:t>ing events — but they introduce a new managed service to operate, monitor, and reason about.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Chosen resolution: Implement session windowing directly in the .NET Event Processor using Redis TTL-based expiry as the inactivity timer. The windowing requirement</w:t>
      </w:r>
      <w:r>
        <w:rPr>
          <w:rFonts w:ascii="Calibri" w:eastAsia="Calibri" w:hAnsi="Calibri" w:cs="Calibri"/>
          <w:sz w:val="22"/>
          <w:szCs w:val="22"/>
        </w:rPr>
        <w:t xml:space="preserve"> here is a single, simple gap-based window, not multiple joined streams or complex temporal aggregations, so the operational cost of a dedicated framework is not justified by the actual complexity of the problem.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Alternative rejected: Google Cloud Dataflow</w:t>
      </w:r>
      <w:r>
        <w:rPr>
          <w:rFonts w:ascii="Calibri" w:eastAsia="Calibri" w:hAnsi="Calibri" w:cs="Calibri"/>
          <w:sz w:val="22"/>
          <w:szCs w:val="22"/>
        </w:rPr>
        <w:t>. Would provide stronger guarantees around late and out-of-order events and built-in watermarking, at the cost of an additional managed service and a new technology the team would need to operate.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Trigger to revisit: If future requirements introduce multip</w:t>
      </w:r>
      <w:r>
        <w:rPr>
          <w:rFonts w:ascii="Calibri" w:eastAsia="Calibri" w:hAnsi="Calibri" w:cs="Calibri"/>
          <w:sz w:val="22"/>
          <w:szCs w:val="22"/>
        </w:rPr>
        <w:t xml:space="preserve">le joined event streams, complex multi-window aggregations, or a hard requirement for exactly-once </w:t>
      </w:r>
      <w:proofErr w:type="spellStart"/>
      <w:r>
        <w:rPr>
          <w:rFonts w:ascii="Calibri" w:eastAsia="Calibri" w:hAnsi="Calibri" w:cs="Calibri"/>
          <w:sz w:val="22"/>
          <w:szCs w:val="22"/>
        </w:rPr>
        <w:t>stateful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processing at very high scale, a dedicated framework would become justified. The custom approach is proportionate to today's single-window need, not</w:t>
      </w:r>
      <w:r>
        <w:rPr>
          <w:rFonts w:ascii="Calibri" w:eastAsia="Calibri" w:hAnsi="Calibri" w:cs="Calibri"/>
          <w:sz w:val="22"/>
          <w:szCs w:val="22"/>
        </w:rPr>
        <w:t xml:space="preserve"> a permanent ceiling.</w:t>
      </w:r>
    </w:p>
    <w:p w:rsidR="00CB2660" w:rsidRDefault="00CB2660">
      <w:pPr>
        <w:spacing w:after="140"/>
      </w:pP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14.6 Live Cache Counters vs. Disposable Cache with TTL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Campaign metrics could be served from a disposable cache that is periodically re-fetched from the analytics store on a timer, or from Redis counters that are updated atomically o</w:t>
      </w:r>
      <w:r>
        <w:rPr>
          <w:rFonts w:ascii="Calibri" w:eastAsia="Calibri" w:hAnsi="Calibri" w:cs="Calibri"/>
          <w:sz w:val="22"/>
          <w:szCs w:val="22"/>
        </w:rPr>
        <w:t>n every event and treated as the live source of truth for real-time queries.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 xml:space="preserve">Chosen resolution: Atomic Redis counters as the live source of truth, incremented directly by the Aggregator on every event, backed by a </w:t>
      </w:r>
      <w:proofErr w:type="spellStart"/>
      <w:r>
        <w:rPr>
          <w:rFonts w:ascii="Calibri" w:eastAsia="Calibri" w:hAnsi="Calibri" w:cs="Calibri"/>
          <w:sz w:val="22"/>
          <w:szCs w:val="22"/>
        </w:rPr>
        <w:t>startup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recovery process that re-seeds cou</w:t>
      </w:r>
      <w:r>
        <w:rPr>
          <w:rFonts w:ascii="Calibri" w:eastAsia="Calibri" w:hAnsi="Calibri" w:cs="Calibri"/>
          <w:sz w:val="22"/>
          <w:szCs w:val="22"/>
        </w:rPr>
        <w:t>nters from the last durable snapshot if the cache is found empty. This removes read staleness entirely under normal operation and removes TTL tuning as an ongoing cost lever.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Alternative rejected: A disposable cache re-fetched on a fixed TTL. Simpler to re</w:t>
      </w:r>
      <w:r>
        <w:rPr>
          <w:rFonts w:ascii="Calibri" w:eastAsia="Calibri" w:hAnsi="Calibri" w:cs="Calibri"/>
          <w:sz w:val="22"/>
          <w:szCs w:val="22"/>
        </w:rPr>
        <w:t>ason about and requires no recovery mechanism, but bounds freshness to an arbitrary time window rather than being genuinely live, and does not remove the underlying risk of a lost read-modify-write race the way an atomic counter does.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Trade-off accepted: l</w:t>
      </w:r>
      <w:r>
        <w:rPr>
          <w:rFonts w:ascii="Calibri" w:eastAsia="Calibri" w:hAnsi="Calibri" w:cs="Calibri"/>
          <w:sz w:val="22"/>
          <w:szCs w:val="22"/>
        </w:rPr>
        <w:t>ive counters require an explicit recovery mechanism to survive a cache restart, which is more moving parts than a simple TTL re-fetch. The recovery service exists specifically to carry this cost.</w:t>
      </w:r>
    </w:p>
    <w:p w:rsidR="00CB2660" w:rsidRPr="00815311" w:rsidRDefault="000C46DA" w:rsidP="00815311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15. Conclusion</w:t>
      </w:r>
    </w:p>
    <w:p w:rsidR="00CB2660" w:rsidRDefault="000C46DA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proposed architecture is designed to balance scalability, maintainability, and operational simplicity while supporting billions of customer interaction events per day. By combining asynchronous event processing, multi-tenant isolation, CQRS-inspired da</w:t>
      </w:r>
      <w:r>
        <w:rPr>
          <w:rFonts w:ascii="Calibri" w:eastAsia="Calibri" w:hAnsi="Calibri" w:cs="Calibri"/>
          <w:sz w:val="22"/>
          <w:szCs w:val="22"/>
        </w:rPr>
        <w:t>ta separation, and managed cloud services, the platform provides a scalable foundation that can evolve incrementally as business requirements grow. The architecture leverages managed Google Cloud Platform services together with .NET, SQL Server, Redis, and</w:t>
      </w:r>
      <w:r>
        <w:rPr>
          <w:rFonts w:ascii="Calibri" w:eastAsia="Calibri" w:hAnsi="Calibri" w:cs="Calibri"/>
          <w:sz w:val="22"/>
          <w:szCs w:val="22"/>
        </w:rPr>
        <w:t xml:space="preserve"> BigQuery to deliver a maintainable and extensible solution aligned with current business requirements and future growth.</w:t>
      </w:r>
    </w:p>
    <w:p w:rsidR="00CB2660" w:rsidRDefault="000C46DA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Outcomes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Cloud-native and scalable architecture.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Secure multi-tenant platform.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Near real-time event processing.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Operational and an</w:t>
      </w:r>
      <w:r>
        <w:rPr>
          <w:rFonts w:ascii="Calibri" w:eastAsia="Calibri" w:hAnsi="Calibri" w:cs="Calibri"/>
          <w:sz w:val="22"/>
          <w:szCs w:val="22"/>
        </w:rPr>
        <w:t>alytical workload separation.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Production-ready deployment model.</w:t>
      </w:r>
    </w:p>
    <w:p w:rsidR="00CB2660" w:rsidRDefault="000C46DA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Extensible foundation for future capabilities.</w:t>
      </w:r>
    </w:p>
    <w:sectPr w:rsidR="00CB2660">
      <w:headerReference w:type="default" r:id="rId16"/>
      <w:footerReference w:type="default" r:id="rId17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46DA" w:rsidRDefault="000C46DA">
      <w:r>
        <w:separator/>
      </w:r>
    </w:p>
  </w:endnote>
  <w:endnote w:type="continuationSeparator" w:id="0">
    <w:p w:rsidR="000C46DA" w:rsidRDefault="000C46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660" w:rsidRDefault="000C46DA">
    <w:pPr>
      <w:jc w:val="center"/>
    </w:pPr>
    <w:r>
      <w:rPr>
        <w:rFonts w:ascii="Calibri" w:eastAsia="Calibri" w:hAnsi="Calibri" w:cs="Calibri"/>
        <w:color w:val="999999"/>
        <w:sz w:val="16"/>
        <w:szCs w:val="16"/>
      </w:rPr>
      <w:t xml:space="preserve">Page </w:t>
    </w:r>
    <w:r>
      <w:rPr>
        <w:rFonts w:ascii="Calibri" w:eastAsia="Calibri" w:hAnsi="Calibri" w:cs="Calibri"/>
        <w:color w:val="999999"/>
        <w:sz w:val="16"/>
        <w:szCs w:val="16"/>
      </w:rPr>
      <w:fldChar w:fldCharType="begin"/>
    </w:r>
    <w:r>
      <w:rPr>
        <w:rFonts w:ascii="Calibri" w:eastAsia="Calibri" w:hAnsi="Calibri" w:cs="Calibri"/>
        <w:color w:val="999999"/>
        <w:sz w:val="16"/>
        <w:szCs w:val="16"/>
      </w:rPr>
      <w:instrText>PAGE</w:instrText>
    </w:r>
    <w:r w:rsidR="001C1C8C">
      <w:rPr>
        <w:rFonts w:ascii="Calibri" w:eastAsia="Calibri" w:hAnsi="Calibri" w:cs="Calibri"/>
        <w:color w:val="999999"/>
        <w:sz w:val="16"/>
        <w:szCs w:val="16"/>
      </w:rPr>
      <w:fldChar w:fldCharType="separate"/>
    </w:r>
    <w:r w:rsidR="001A059B">
      <w:rPr>
        <w:rFonts w:ascii="Calibri" w:eastAsia="Calibri" w:hAnsi="Calibri" w:cs="Calibri"/>
        <w:noProof/>
        <w:color w:val="999999"/>
        <w:sz w:val="16"/>
        <w:szCs w:val="16"/>
      </w:rPr>
      <w:t>20</w:t>
    </w:r>
    <w:r>
      <w:rPr>
        <w:rFonts w:ascii="Calibri" w:eastAsia="Calibri" w:hAnsi="Calibri" w:cs="Calibri"/>
        <w:color w:val="999999"/>
        <w:sz w:val="16"/>
        <w:szCs w:val="16"/>
      </w:rPr>
      <w:fldChar w:fldCharType="end"/>
    </w:r>
    <w:r>
      <w:rPr>
        <w:rFonts w:ascii="Calibri" w:eastAsia="Calibri" w:hAnsi="Calibri" w:cs="Calibri"/>
        <w:color w:val="999999"/>
        <w:sz w:val="16"/>
        <w:szCs w:val="16"/>
      </w:rPr>
      <w:t xml:space="preserve"> of </w:t>
    </w:r>
    <w:r>
      <w:rPr>
        <w:rFonts w:ascii="Calibri" w:eastAsia="Calibri" w:hAnsi="Calibri" w:cs="Calibri"/>
        <w:color w:val="999999"/>
        <w:sz w:val="16"/>
        <w:szCs w:val="16"/>
      </w:rPr>
      <w:fldChar w:fldCharType="begin"/>
    </w:r>
    <w:r>
      <w:rPr>
        <w:rFonts w:ascii="Calibri" w:eastAsia="Calibri" w:hAnsi="Calibri" w:cs="Calibri"/>
        <w:color w:val="999999"/>
        <w:sz w:val="16"/>
        <w:szCs w:val="16"/>
      </w:rPr>
      <w:instrText>NUMPAGES</w:instrText>
    </w:r>
    <w:r w:rsidR="001C1C8C">
      <w:rPr>
        <w:rFonts w:ascii="Calibri" w:eastAsia="Calibri" w:hAnsi="Calibri" w:cs="Calibri"/>
        <w:color w:val="999999"/>
        <w:sz w:val="16"/>
        <w:szCs w:val="16"/>
      </w:rPr>
      <w:fldChar w:fldCharType="separate"/>
    </w:r>
    <w:r w:rsidR="001A059B">
      <w:rPr>
        <w:rFonts w:ascii="Calibri" w:eastAsia="Calibri" w:hAnsi="Calibri" w:cs="Calibri"/>
        <w:noProof/>
        <w:color w:val="999999"/>
        <w:sz w:val="16"/>
        <w:szCs w:val="16"/>
      </w:rPr>
      <w:t>20</w:t>
    </w:r>
    <w:r>
      <w:rPr>
        <w:rFonts w:ascii="Calibri" w:eastAsia="Calibri" w:hAnsi="Calibri" w:cs="Calibri"/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46DA" w:rsidRDefault="000C46DA">
      <w:r>
        <w:separator/>
      </w:r>
    </w:p>
  </w:footnote>
  <w:footnote w:type="continuationSeparator" w:id="0">
    <w:p w:rsidR="000C46DA" w:rsidRDefault="000C46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660" w:rsidRDefault="000C46DA">
    <w:pPr>
      <w:jc w:val="right"/>
    </w:pPr>
    <w:r>
      <w:rPr>
        <w:rFonts w:ascii="Calibri" w:eastAsia="Calibri" w:hAnsi="Calibri" w:cs="Calibri"/>
        <w:color w:val="999999"/>
        <w:sz w:val="16"/>
        <w:szCs w:val="16"/>
      </w:rPr>
      <w:t>Retail Media Intelligence Platform — Architecture Design Proposal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7E6C33"/>
    <w:multiLevelType w:val="hybridMultilevel"/>
    <w:tmpl w:val="61A2E5C4"/>
    <w:lvl w:ilvl="0" w:tplc="45DA346A">
      <w:start w:val="1"/>
      <w:numFmt w:val="bullet"/>
      <w:lvlText w:val="•"/>
      <w:lvlJc w:val="left"/>
      <w:pPr>
        <w:ind w:left="504" w:hanging="288"/>
      </w:pPr>
    </w:lvl>
    <w:lvl w:ilvl="1" w:tplc="2E98D13C">
      <w:numFmt w:val="decimal"/>
      <w:lvlText w:val=""/>
      <w:lvlJc w:val="left"/>
    </w:lvl>
    <w:lvl w:ilvl="2" w:tplc="9F3C2B6E">
      <w:numFmt w:val="decimal"/>
      <w:lvlText w:val=""/>
      <w:lvlJc w:val="left"/>
    </w:lvl>
    <w:lvl w:ilvl="3" w:tplc="8982D642">
      <w:numFmt w:val="decimal"/>
      <w:lvlText w:val=""/>
      <w:lvlJc w:val="left"/>
    </w:lvl>
    <w:lvl w:ilvl="4" w:tplc="3904DF82">
      <w:numFmt w:val="decimal"/>
      <w:lvlText w:val=""/>
      <w:lvlJc w:val="left"/>
    </w:lvl>
    <w:lvl w:ilvl="5" w:tplc="17707452">
      <w:numFmt w:val="decimal"/>
      <w:lvlText w:val=""/>
      <w:lvlJc w:val="left"/>
    </w:lvl>
    <w:lvl w:ilvl="6" w:tplc="D6E6DD98">
      <w:numFmt w:val="decimal"/>
      <w:lvlText w:val=""/>
      <w:lvlJc w:val="left"/>
    </w:lvl>
    <w:lvl w:ilvl="7" w:tplc="9EA4795E">
      <w:numFmt w:val="decimal"/>
      <w:lvlText w:val=""/>
      <w:lvlJc w:val="left"/>
    </w:lvl>
    <w:lvl w:ilvl="8" w:tplc="A7282B02">
      <w:numFmt w:val="decimal"/>
      <w:lvlText w:val=""/>
      <w:lvlJc w:val="left"/>
    </w:lvl>
  </w:abstractNum>
  <w:abstractNum w:abstractNumId="1" w15:restartNumberingAfterBreak="0">
    <w:nsid w:val="6A6036C5"/>
    <w:multiLevelType w:val="hybridMultilevel"/>
    <w:tmpl w:val="B1DCD770"/>
    <w:lvl w:ilvl="0" w:tplc="94DEB550">
      <w:start w:val="1"/>
      <w:numFmt w:val="bullet"/>
      <w:lvlText w:val="●"/>
      <w:lvlJc w:val="left"/>
      <w:pPr>
        <w:ind w:left="720" w:hanging="360"/>
      </w:pPr>
    </w:lvl>
    <w:lvl w:ilvl="1" w:tplc="2D0458CE">
      <w:start w:val="1"/>
      <w:numFmt w:val="bullet"/>
      <w:lvlText w:val="○"/>
      <w:lvlJc w:val="left"/>
      <w:pPr>
        <w:ind w:left="1440" w:hanging="360"/>
      </w:pPr>
    </w:lvl>
    <w:lvl w:ilvl="2" w:tplc="6022678C">
      <w:start w:val="1"/>
      <w:numFmt w:val="bullet"/>
      <w:lvlText w:val="■"/>
      <w:lvlJc w:val="left"/>
      <w:pPr>
        <w:ind w:left="2160" w:hanging="360"/>
      </w:pPr>
    </w:lvl>
    <w:lvl w:ilvl="3" w:tplc="C8669D40">
      <w:start w:val="1"/>
      <w:numFmt w:val="bullet"/>
      <w:lvlText w:val="●"/>
      <w:lvlJc w:val="left"/>
      <w:pPr>
        <w:ind w:left="2880" w:hanging="360"/>
      </w:pPr>
    </w:lvl>
    <w:lvl w:ilvl="4" w:tplc="05E8FD14">
      <w:start w:val="1"/>
      <w:numFmt w:val="bullet"/>
      <w:lvlText w:val="○"/>
      <w:lvlJc w:val="left"/>
      <w:pPr>
        <w:ind w:left="3600" w:hanging="360"/>
      </w:pPr>
    </w:lvl>
    <w:lvl w:ilvl="5" w:tplc="7D3623E4">
      <w:start w:val="1"/>
      <w:numFmt w:val="bullet"/>
      <w:lvlText w:val="■"/>
      <w:lvlJc w:val="left"/>
      <w:pPr>
        <w:ind w:left="4320" w:hanging="360"/>
      </w:pPr>
    </w:lvl>
    <w:lvl w:ilvl="6" w:tplc="2E1AE8FA">
      <w:start w:val="1"/>
      <w:numFmt w:val="bullet"/>
      <w:lvlText w:val="●"/>
      <w:lvlJc w:val="left"/>
      <w:pPr>
        <w:ind w:left="5040" w:hanging="360"/>
      </w:pPr>
    </w:lvl>
    <w:lvl w:ilvl="7" w:tplc="6E982290">
      <w:start w:val="1"/>
      <w:numFmt w:val="bullet"/>
      <w:lvlText w:val="●"/>
      <w:lvlJc w:val="left"/>
      <w:pPr>
        <w:ind w:left="5760" w:hanging="360"/>
      </w:pPr>
    </w:lvl>
    <w:lvl w:ilvl="8" w:tplc="4CA8549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660"/>
    <w:rsid w:val="00067A2C"/>
    <w:rsid w:val="000C46DA"/>
    <w:rsid w:val="001A059B"/>
    <w:rsid w:val="001C1C8C"/>
    <w:rsid w:val="002345F6"/>
    <w:rsid w:val="003C73E5"/>
    <w:rsid w:val="003E740A"/>
    <w:rsid w:val="00412EA9"/>
    <w:rsid w:val="00815311"/>
    <w:rsid w:val="008D6DD8"/>
    <w:rsid w:val="00CB2660"/>
    <w:rsid w:val="00DA6451"/>
    <w:rsid w:val="00FC3088"/>
    <w:rsid w:val="00FE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267ED"/>
  <w15:docId w15:val="{4A0B1763-C949-4A75-A2CB-213FC8D67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3726</Words>
  <Characters>21240</Characters>
  <Application>Microsoft Office Word</Application>
  <DocSecurity>0</DocSecurity>
  <Lines>177</Lines>
  <Paragraphs>49</Paragraphs>
  <ScaleCrop>false</ScaleCrop>
  <Company/>
  <LinksUpToDate>false</LinksUpToDate>
  <CharactersWithSpaces>24917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Bhuvnesh Dixit</cp:lastModifiedBy>
  <cp:revision>26</cp:revision>
  <dcterms:created xsi:type="dcterms:W3CDTF">2026-07-12T10:13:00Z</dcterms:created>
  <dcterms:modified xsi:type="dcterms:W3CDTF">2026-07-12T10:22:00Z</dcterms:modified>
</cp:coreProperties>
</file>