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2660" w:rsidRDefault="00CB2660">
      <w:pPr>
        <w:spacing w:before="1800"/>
      </w:pPr>
    </w:p>
    <w:p w:rsidR="001A059B" w:rsidRDefault="001A059B">
      <w:pPr>
        <w:jc w:val="center"/>
        <w:rPr>
          <w:rFonts w:ascii="Calibri" w:eastAsia="Calibri" w:hAnsi="Calibri" w:cs="Calibri"/>
          <w:b/>
          <w:bCs/>
          <w:color w:val="1F3864"/>
          <w:sz w:val="52"/>
          <w:szCs w:val="52"/>
        </w:rPr>
      </w:pPr>
    </w:p>
    <w:p w:rsidR="001A059B" w:rsidRDefault="001A059B">
      <w:pPr>
        <w:jc w:val="center"/>
        <w:rPr>
          <w:rFonts w:ascii="Calibri" w:eastAsia="Calibri" w:hAnsi="Calibri" w:cs="Calibri"/>
          <w:b/>
          <w:bCs/>
          <w:color w:val="1F3864"/>
          <w:sz w:val="52"/>
          <w:szCs w:val="52"/>
        </w:rPr>
      </w:pPr>
    </w:p>
    <w:p w:rsidR="001A059B" w:rsidRDefault="001A059B">
      <w:pPr>
        <w:jc w:val="center"/>
        <w:rPr>
          <w:rFonts w:ascii="Calibri" w:eastAsia="Calibri" w:hAnsi="Calibri" w:cs="Calibri"/>
          <w:b/>
          <w:bCs/>
          <w:color w:val="1F3864"/>
          <w:sz w:val="52"/>
          <w:szCs w:val="52"/>
        </w:rPr>
      </w:pPr>
    </w:p>
    <w:p w:rsidR="001A059B" w:rsidRDefault="001A059B">
      <w:pPr>
        <w:jc w:val="center"/>
        <w:rPr>
          <w:rFonts w:ascii="Calibri" w:eastAsia="Calibri" w:hAnsi="Calibri" w:cs="Calibri"/>
          <w:b/>
          <w:bCs/>
          <w:color w:val="1F3864"/>
          <w:sz w:val="52"/>
          <w:szCs w:val="52"/>
        </w:rPr>
      </w:pPr>
    </w:p>
    <w:p w:rsidR="00CB2660" w:rsidRDefault="000C46DA">
      <w:pPr>
        <w:jc w:val="center"/>
      </w:pPr>
      <w:r>
        <w:rPr>
          <w:rFonts w:ascii="Calibri" w:eastAsia="Calibri" w:hAnsi="Calibri" w:cs="Calibri"/>
          <w:b/>
          <w:bCs/>
          <w:color w:val="1F3864"/>
          <w:sz w:val="52"/>
          <w:szCs w:val="52"/>
        </w:rPr>
        <w:t>Architecture Design Proposal</w:t>
      </w:r>
    </w:p>
    <w:p w:rsidR="00CB2660" w:rsidRDefault="000C46DA">
      <w:pPr>
        <w:spacing w:before="200" w:after="400"/>
        <w:jc w:val="center"/>
      </w:pPr>
      <w:r>
        <w:rPr>
          <w:rFonts w:ascii="Calibri" w:eastAsia="Calibri" w:hAnsi="Calibri" w:cs="Calibri"/>
          <w:color w:val="2E74B5"/>
          <w:sz w:val="30"/>
          <w:szCs w:val="30"/>
        </w:rPr>
        <w:t>Retail Media Intelligence Platform</w:t>
      </w:r>
    </w:p>
    <w:p w:rsidR="00CB2660" w:rsidRDefault="000C46DA">
      <w:pPr>
        <w:spacing w:after="40"/>
        <w:jc w:val="center"/>
      </w:pPr>
      <w:r>
        <w:rPr>
          <w:rFonts w:ascii="Calibri" w:eastAsia="Calibri" w:hAnsi="Calibri" w:cs="Calibri"/>
          <w:color w:val="595959"/>
          <w:sz w:val="22"/>
          <w:szCs w:val="22"/>
        </w:rPr>
        <w:t xml:space="preserve">Prepared by: </w:t>
      </w:r>
      <w:r w:rsidR="001C1C8C">
        <w:rPr>
          <w:rFonts w:ascii="Calibri" w:eastAsia="Calibri" w:hAnsi="Calibri" w:cs="Calibri"/>
          <w:color w:val="595959"/>
          <w:sz w:val="22"/>
          <w:szCs w:val="22"/>
        </w:rPr>
        <w:t>Bhuvnesh</w:t>
      </w:r>
      <w:r>
        <w:rPr>
          <w:rFonts w:ascii="Calibri" w:eastAsia="Calibri" w:hAnsi="Calibri" w:cs="Calibri"/>
          <w:color w:val="595959"/>
          <w:sz w:val="22"/>
          <w:szCs w:val="22"/>
        </w:rPr>
        <w:t xml:space="preserve"> Dixit</w:t>
      </w:r>
    </w:p>
    <w:p w:rsidR="00CB2660" w:rsidRDefault="000C46DA">
      <w:r>
        <w:br w:type="page"/>
      </w:r>
    </w:p>
    <w:p w:rsidR="00CB2660" w:rsidRDefault="000C46DA">
      <w:pPr>
        <w:pStyle w:val="Heading1"/>
        <w:pBdr>
          <w:bottom w:val="single" w:sz="8" w:space="4" w:color="2E74B5"/>
        </w:pBdr>
        <w:spacing w:before="420" w:after="220"/>
      </w:pPr>
      <w:r>
        <w:rPr>
          <w:rFonts w:ascii="Calibri" w:eastAsia="Calibri" w:hAnsi="Calibri" w:cs="Calibri"/>
          <w:b/>
          <w:bCs/>
          <w:color w:val="1F3864"/>
        </w:rPr>
        <w:lastRenderedPageBreak/>
        <w:t>Table of Contents</w:t>
      </w:r>
    </w:p>
    <w:p w:rsidR="00CB2660" w:rsidRDefault="000C46DA">
      <w:pPr>
        <w:spacing w:after="100"/>
      </w:pPr>
      <w:r>
        <w:rPr>
          <w:rFonts w:ascii="Calibri" w:eastAsia="Calibri" w:hAnsi="Calibri" w:cs="Calibri"/>
          <w:sz w:val="22"/>
          <w:szCs w:val="22"/>
        </w:rPr>
        <w:t>1. Executive Summary</w:t>
      </w:r>
    </w:p>
    <w:p w:rsidR="00CB2660" w:rsidRDefault="000C46DA">
      <w:pPr>
        <w:spacing w:after="100"/>
      </w:pPr>
      <w:r>
        <w:rPr>
          <w:rFonts w:ascii="Calibri" w:eastAsia="Calibri" w:hAnsi="Calibri" w:cs="Calibri"/>
          <w:sz w:val="22"/>
          <w:szCs w:val="22"/>
        </w:rPr>
        <w:t>2. Business Context</w:t>
      </w:r>
    </w:p>
    <w:p w:rsidR="00CB2660" w:rsidRDefault="000C46DA">
      <w:pPr>
        <w:spacing w:after="100"/>
      </w:pPr>
      <w:r>
        <w:rPr>
          <w:rFonts w:ascii="Calibri" w:eastAsia="Calibri" w:hAnsi="Calibri" w:cs="Calibri"/>
          <w:sz w:val="22"/>
          <w:szCs w:val="22"/>
        </w:rPr>
        <w:t>3. Requirements Engineering</w:t>
      </w:r>
    </w:p>
    <w:p w:rsidR="00CB2660" w:rsidRDefault="000C46DA">
      <w:pPr>
        <w:spacing w:after="100"/>
      </w:pPr>
      <w:r>
        <w:rPr>
          <w:rFonts w:ascii="Calibri" w:eastAsia="Calibri" w:hAnsi="Calibri" w:cs="Calibri"/>
          <w:sz w:val="22"/>
          <w:szCs w:val="22"/>
        </w:rPr>
        <w:t>4. Capacity Planning</w:t>
      </w:r>
    </w:p>
    <w:p w:rsidR="00CB2660" w:rsidRDefault="000C46DA">
      <w:pPr>
        <w:spacing w:after="100"/>
      </w:pPr>
      <w:r>
        <w:rPr>
          <w:rFonts w:ascii="Calibri" w:eastAsia="Calibri" w:hAnsi="Calibri" w:cs="Calibri"/>
          <w:sz w:val="22"/>
          <w:szCs w:val="22"/>
        </w:rPr>
        <w:t>5. Architecture Principles</w:t>
      </w:r>
    </w:p>
    <w:p w:rsidR="00CB2660" w:rsidRDefault="000C46DA">
      <w:pPr>
        <w:spacing w:after="100"/>
      </w:pPr>
      <w:r>
        <w:rPr>
          <w:rFonts w:ascii="Calibri" w:eastAsia="Calibri" w:hAnsi="Calibri" w:cs="Calibri"/>
          <w:sz w:val="22"/>
          <w:szCs w:val="22"/>
        </w:rPr>
        <w:t>6. Solution Overview</w:t>
      </w:r>
    </w:p>
    <w:p w:rsidR="00CB2660" w:rsidRDefault="000C46DA">
      <w:pPr>
        <w:spacing w:after="100"/>
      </w:pPr>
      <w:r>
        <w:rPr>
          <w:rFonts w:ascii="Calibri" w:eastAsia="Calibri" w:hAnsi="Calibri" w:cs="Calibri"/>
          <w:sz w:val="22"/>
          <w:szCs w:val="22"/>
        </w:rPr>
        <w:t>7. End-to-End Data Flow</w:t>
      </w:r>
    </w:p>
    <w:p w:rsidR="00CB2660" w:rsidRDefault="000C46DA">
      <w:pPr>
        <w:spacing w:after="100"/>
      </w:pPr>
      <w:r>
        <w:rPr>
          <w:rFonts w:ascii="Calibri" w:eastAsia="Calibri" w:hAnsi="Calibri" w:cs="Calibri"/>
          <w:sz w:val="22"/>
          <w:szCs w:val="22"/>
        </w:rPr>
        <w:t>8. Deployment Architecture</w:t>
      </w:r>
    </w:p>
    <w:p w:rsidR="00CB2660" w:rsidRDefault="000C46DA">
      <w:pPr>
        <w:spacing w:after="100"/>
      </w:pPr>
      <w:r>
        <w:rPr>
          <w:rFonts w:ascii="Calibri" w:eastAsia="Calibri" w:hAnsi="Calibri" w:cs="Calibri"/>
          <w:sz w:val="22"/>
          <w:szCs w:val="22"/>
        </w:rPr>
        <w:t>9. Security Architecture</w:t>
      </w:r>
    </w:p>
    <w:p w:rsidR="00CB2660" w:rsidRDefault="000C46DA">
      <w:pPr>
        <w:spacing w:after="100"/>
      </w:pPr>
      <w:r>
        <w:rPr>
          <w:rFonts w:ascii="Calibri" w:eastAsia="Calibri" w:hAnsi="Calibri" w:cs="Calibri"/>
          <w:sz w:val="22"/>
          <w:szCs w:val="22"/>
        </w:rPr>
        <w:t>10. Data Architecture</w:t>
      </w:r>
    </w:p>
    <w:p w:rsidR="00CB2660" w:rsidRDefault="000C46DA">
      <w:pPr>
        <w:spacing w:after="100"/>
      </w:pPr>
      <w:r>
        <w:rPr>
          <w:rFonts w:ascii="Calibri" w:eastAsia="Calibri" w:hAnsi="Calibri" w:cs="Calibri"/>
          <w:sz w:val="22"/>
          <w:szCs w:val="22"/>
        </w:rPr>
        <w:t>11. Observability &amp; Reliability</w:t>
      </w:r>
    </w:p>
    <w:p w:rsidR="00CB2660" w:rsidRDefault="000C46DA">
      <w:pPr>
        <w:spacing w:after="100"/>
      </w:pPr>
      <w:r>
        <w:rPr>
          <w:rFonts w:ascii="Calibri" w:eastAsia="Calibri" w:hAnsi="Calibri" w:cs="Calibri"/>
          <w:sz w:val="22"/>
          <w:szCs w:val="22"/>
        </w:rPr>
        <w:t>12. Technology Decisions</w:t>
      </w:r>
    </w:p>
    <w:p w:rsidR="00CB2660" w:rsidRDefault="000C46DA">
      <w:pPr>
        <w:spacing w:after="100"/>
      </w:pPr>
      <w:r>
        <w:rPr>
          <w:rFonts w:ascii="Calibri" w:eastAsia="Calibri" w:hAnsi="Calibri" w:cs="Calibri"/>
          <w:sz w:val="22"/>
          <w:szCs w:val="22"/>
        </w:rPr>
        <w:t>13. Future Roadmap</w:t>
      </w:r>
    </w:p>
    <w:p w:rsidR="00CB2660" w:rsidRDefault="000C46DA">
      <w:pPr>
        <w:spacing w:after="100"/>
      </w:pPr>
      <w:r>
        <w:rPr>
          <w:rFonts w:ascii="Calibri" w:eastAsia="Calibri" w:hAnsi="Calibri" w:cs="Calibri"/>
          <w:sz w:val="22"/>
          <w:szCs w:val="22"/>
        </w:rPr>
        <w:t>14. Challenges and Trade-offs</w:t>
      </w:r>
    </w:p>
    <w:p w:rsidR="00CB2660" w:rsidRDefault="000C46DA">
      <w:pPr>
        <w:spacing w:after="100"/>
      </w:pPr>
      <w:r>
        <w:rPr>
          <w:rFonts w:ascii="Calibri" w:eastAsia="Calibri" w:hAnsi="Calibri" w:cs="Calibri"/>
          <w:sz w:val="22"/>
          <w:szCs w:val="22"/>
        </w:rPr>
        <w:t>15. Conclusion</w:t>
      </w:r>
    </w:p>
    <w:p w:rsidR="00CB2660" w:rsidRDefault="000C46DA">
      <w:r>
        <w:br w:type="page"/>
      </w:r>
    </w:p>
    <w:p w:rsidR="00CB2660" w:rsidRDefault="000C46DA">
      <w:pPr>
        <w:pStyle w:val="Heading1"/>
        <w:pBdr>
          <w:bottom w:val="single" w:sz="8" w:space="4" w:color="2E74B5"/>
        </w:pBdr>
        <w:spacing w:before="420" w:after="220"/>
      </w:pPr>
      <w:r>
        <w:rPr>
          <w:rFonts w:ascii="Calibri" w:eastAsia="Calibri" w:hAnsi="Calibri" w:cs="Calibri"/>
          <w:b/>
          <w:bCs/>
          <w:color w:val="1F3864"/>
        </w:rPr>
        <w:lastRenderedPageBreak/>
        <w:t>1. Executive Summary</w:t>
      </w:r>
    </w:p>
    <w:p w:rsidR="00CB2660" w:rsidRDefault="000C46DA">
      <w:pPr>
        <w:spacing w:after="160" w:line="276" w:lineRule="auto"/>
      </w:pPr>
      <w:r>
        <w:rPr>
          <w:rFonts w:ascii="Calibri" w:eastAsia="Calibri" w:hAnsi="Calibri" w:cs="Calibri"/>
          <w:sz w:val="22"/>
          <w:szCs w:val="22"/>
        </w:rPr>
        <w:t>This document presents the proposed architecture for a Retail Media Intelligence Platform that enables retailers to collect customer interaction events, process them in near real time, and provide campaign performance insights to advertisers.</w:t>
      </w:r>
    </w:p>
    <w:p w:rsidR="00CB2660" w:rsidRDefault="000C46DA">
      <w:pPr>
        <w:pStyle w:val="Heading2"/>
        <w:spacing w:before="260" w:after="130"/>
      </w:pPr>
      <w:r>
        <w:rPr>
          <w:rFonts w:ascii="Calibri" w:eastAsia="Calibri" w:hAnsi="Calibri" w:cs="Calibri"/>
          <w:b/>
          <w:bCs/>
          <w:sz w:val="25"/>
          <w:szCs w:val="25"/>
        </w:rPr>
        <w:t>Key Objectives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607"/>
        <w:gridCol w:w="7113"/>
      </w:tblGrid>
      <w:tr w:rsidR="00CB2660">
        <w:trPr>
          <w:tblHeader/>
        </w:trPr>
        <w:tc>
          <w:tcPr>
            <w:tcW w:w="25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Objective</w:t>
            </w:r>
          </w:p>
        </w:tc>
        <w:tc>
          <w:tcPr>
            <w:tcW w:w="68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Description</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Scalability</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Handle high-volume event ingestion through horizontal scaling.</w:t>
            </w:r>
          </w:p>
        </w:tc>
      </w:tr>
      <w:tr w:rsidR="00CB2660">
        <w:tc>
          <w:tcPr>
            <w:tcW w:w="25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Security</w:t>
            </w:r>
          </w:p>
        </w:tc>
        <w:tc>
          <w:tcPr>
            <w:tcW w:w="68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Protect platform and customer data.</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Multi-Tenancy</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Support multiple retailers on a shared platform.</w:t>
            </w:r>
          </w:p>
        </w:tc>
      </w:tr>
      <w:tr w:rsidR="00CB2660">
        <w:tc>
          <w:tcPr>
            <w:tcW w:w="25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Reliability</w:t>
            </w:r>
          </w:p>
        </w:tc>
        <w:tc>
          <w:tcPr>
            <w:tcW w:w="68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Ensure continuous processing with fault tolerance.</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Extensibility</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Support future business growth with minimal redesign.</w:t>
            </w:r>
          </w:p>
        </w:tc>
      </w:tr>
    </w:tbl>
    <w:p w:rsidR="00CB2660" w:rsidRDefault="00CB2660">
      <w:pPr>
        <w:spacing w:after="160"/>
      </w:pPr>
    </w:p>
    <w:p w:rsidR="00CB2660" w:rsidRDefault="000C46DA">
      <w:pPr>
        <w:pStyle w:val="Heading2"/>
        <w:spacing w:before="260" w:after="130"/>
      </w:pPr>
      <w:r>
        <w:rPr>
          <w:rFonts w:ascii="Calibri" w:eastAsia="Calibri" w:hAnsi="Calibri" w:cs="Calibri"/>
          <w:b/>
          <w:bCs/>
          <w:sz w:val="25"/>
          <w:szCs w:val="25"/>
        </w:rPr>
        <w:t>High-Level Solution</w:t>
      </w:r>
    </w:p>
    <w:p w:rsidR="00CB2660" w:rsidRDefault="000C46DA">
      <w:pPr>
        <w:spacing w:before="120" w:after="240"/>
        <w:jc w:val="center"/>
      </w:pPr>
      <w:r>
        <w:rPr>
          <w:noProof/>
        </w:rPr>
        <w:drawing>
          <wp:inline distT="0" distB="0" distL="0" distR="0">
            <wp:extent cx="1419225" cy="2619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19225" cy="2619375"/>
                    </a:xfrm>
                    <a:prstGeom prst="rect">
                      <a:avLst/>
                    </a:prstGeom>
                  </pic:spPr>
                </pic:pic>
              </a:graphicData>
            </a:graphic>
          </wp:inline>
        </w:drawing>
      </w:r>
    </w:p>
    <w:p w:rsidR="00CB2660" w:rsidRPr="00993436" w:rsidRDefault="000C46DA" w:rsidP="00993436">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2. Business Context</w:t>
      </w:r>
    </w:p>
    <w:p w:rsidR="00CB2660" w:rsidRDefault="000C46DA">
      <w:pPr>
        <w:pStyle w:val="Heading2"/>
        <w:spacing w:before="260" w:after="130"/>
      </w:pPr>
      <w:r>
        <w:rPr>
          <w:rFonts w:ascii="Calibri" w:eastAsia="Calibri" w:hAnsi="Calibri" w:cs="Calibri"/>
          <w:b/>
          <w:bCs/>
          <w:sz w:val="25"/>
          <w:szCs w:val="25"/>
        </w:rPr>
        <w:t>Problem Statement</w:t>
      </w:r>
    </w:p>
    <w:p w:rsidR="00CB2660" w:rsidRDefault="000C46DA">
      <w:pPr>
        <w:spacing w:after="160" w:line="276" w:lineRule="auto"/>
      </w:pPr>
      <w:r>
        <w:rPr>
          <w:rFonts w:ascii="Calibri" w:eastAsia="Calibri" w:hAnsi="Calibri" w:cs="Calibri"/>
          <w:sz w:val="22"/>
          <w:szCs w:val="22"/>
        </w:rPr>
        <w:t>Retailers generate a large volume of customer interaction events through their digital channels. Processing these events efficiently is essential to provide advertisers with timely campaign insights and performance metrics.</w:t>
      </w:r>
    </w:p>
    <w:p w:rsidR="00CB2660" w:rsidRDefault="000C46DA">
      <w:pPr>
        <w:spacing w:after="160" w:line="276" w:lineRule="auto"/>
      </w:pPr>
      <w:r>
        <w:rPr>
          <w:rFonts w:ascii="Calibri" w:eastAsia="Calibri" w:hAnsi="Calibri" w:cs="Calibri"/>
          <w:sz w:val="22"/>
          <w:szCs w:val="22"/>
        </w:rPr>
        <w:t>The proposed platform addresses this need by collecting, processing, and exposing campaign analytics through secure APIs while supporting multiple retailers on a shared platform.</w:t>
      </w:r>
    </w:p>
    <w:p w:rsidR="00CB2660" w:rsidRDefault="000C46DA">
      <w:pPr>
        <w:pStyle w:val="Heading2"/>
        <w:spacing w:before="260" w:after="130"/>
      </w:pPr>
      <w:r>
        <w:rPr>
          <w:rFonts w:ascii="Calibri" w:eastAsia="Calibri" w:hAnsi="Calibri" w:cs="Calibri"/>
          <w:b/>
          <w:bCs/>
          <w:sz w:val="25"/>
          <w:szCs w:val="25"/>
        </w:rPr>
        <w:lastRenderedPageBreak/>
        <w:t>Business Scope</w:t>
      </w:r>
    </w:p>
    <w:p w:rsidR="00CB2660" w:rsidRDefault="000C46DA">
      <w:pPr>
        <w:pStyle w:val="Heading3"/>
        <w:spacing w:before="180" w:after="90"/>
      </w:pPr>
      <w:r>
        <w:rPr>
          <w:rFonts w:ascii="Calibri" w:eastAsia="Calibri" w:hAnsi="Calibri" w:cs="Calibri"/>
          <w:b/>
          <w:bCs/>
          <w:color w:val="1F3864"/>
          <w:sz w:val="22"/>
          <w:szCs w:val="22"/>
        </w:rPr>
        <w:t>In Scope</w:t>
      </w:r>
    </w:p>
    <w:p w:rsidR="00CB2660" w:rsidRDefault="000C46DA">
      <w:pPr>
        <w:pStyle w:val="ListParagraph"/>
        <w:numPr>
          <w:ilvl w:val="0"/>
          <w:numId w:val="2"/>
        </w:numPr>
        <w:spacing w:after="90" w:line="270" w:lineRule="auto"/>
      </w:pPr>
      <w:r>
        <w:rPr>
          <w:rFonts w:ascii="Calibri" w:eastAsia="Calibri" w:hAnsi="Calibri" w:cs="Calibri"/>
          <w:sz w:val="22"/>
          <w:szCs w:val="22"/>
        </w:rPr>
        <w:t>Customer event collection</w:t>
      </w:r>
    </w:p>
    <w:p w:rsidR="00CB2660" w:rsidRDefault="000C46DA">
      <w:pPr>
        <w:pStyle w:val="ListParagraph"/>
        <w:numPr>
          <w:ilvl w:val="0"/>
          <w:numId w:val="2"/>
        </w:numPr>
        <w:spacing w:after="90" w:line="270" w:lineRule="auto"/>
      </w:pPr>
      <w:r>
        <w:rPr>
          <w:rFonts w:ascii="Calibri" w:eastAsia="Calibri" w:hAnsi="Calibri" w:cs="Calibri"/>
          <w:sz w:val="22"/>
          <w:szCs w:val="22"/>
        </w:rPr>
        <w:t>Event processing</w:t>
      </w:r>
    </w:p>
    <w:p w:rsidR="00CB2660" w:rsidRDefault="000C46DA">
      <w:pPr>
        <w:pStyle w:val="ListParagraph"/>
        <w:numPr>
          <w:ilvl w:val="0"/>
          <w:numId w:val="2"/>
        </w:numPr>
        <w:spacing w:after="90" w:line="270" w:lineRule="auto"/>
      </w:pPr>
      <w:r>
        <w:rPr>
          <w:rFonts w:ascii="Calibri" w:eastAsia="Calibri" w:hAnsi="Calibri" w:cs="Calibri"/>
          <w:sz w:val="22"/>
          <w:szCs w:val="22"/>
        </w:rPr>
        <w:t>Campaign analytics</w:t>
      </w:r>
    </w:p>
    <w:p w:rsidR="00CB2660" w:rsidRDefault="000C46DA">
      <w:pPr>
        <w:pStyle w:val="ListParagraph"/>
        <w:numPr>
          <w:ilvl w:val="0"/>
          <w:numId w:val="2"/>
        </w:numPr>
        <w:spacing w:after="90" w:line="270" w:lineRule="auto"/>
      </w:pPr>
      <w:r>
        <w:rPr>
          <w:rFonts w:ascii="Calibri" w:eastAsia="Calibri" w:hAnsi="Calibri" w:cs="Calibri"/>
          <w:sz w:val="22"/>
          <w:szCs w:val="22"/>
        </w:rPr>
        <w:t>Secure APIs</w:t>
      </w:r>
    </w:p>
    <w:p w:rsidR="00CB2660" w:rsidRDefault="000C46DA">
      <w:pPr>
        <w:pStyle w:val="ListParagraph"/>
        <w:numPr>
          <w:ilvl w:val="0"/>
          <w:numId w:val="2"/>
        </w:numPr>
        <w:spacing w:after="90" w:line="270" w:lineRule="auto"/>
      </w:pPr>
      <w:r>
        <w:rPr>
          <w:rFonts w:ascii="Calibri" w:eastAsia="Calibri" w:hAnsi="Calibri" w:cs="Calibri"/>
          <w:sz w:val="22"/>
          <w:szCs w:val="22"/>
        </w:rPr>
        <w:t>Multi-tenant architecture</w:t>
      </w:r>
    </w:p>
    <w:p w:rsidR="00CB2660" w:rsidRDefault="000C46DA">
      <w:pPr>
        <w:pStyle w:val="ListParagraph"/>
        <w:numPr>
          <w:ilvl w:val="0"/>
          <w:numId w:val="2"/>
        </w:numPr>
        <w:spacing w:after="90" w:line="270" w:lineRule="auto"/>
      </w:pPr>
      <w:r>
        <w:rPr>
          <w:rFonts w:ascii="Calibri" w:eastAsia="Calibri" w:hAnsi="Calibri" w:cs="Calibri"/>
          <w:sz w:val="22"/>
          <w:szCs w:val="22"/>
        </w:rPr>
        <w:t>Cloud deployment</w:t>
      </w:r>
    </w:p>
    <w:p w:rsidR="00CB2660" w:rsidRDefault="00CB2660">
      <w:pPr>
        <w:spacing w:after="80"/>
      </w:pPr>
    </w:p>
    <w:p w:rsidR="00CB2660" w:rsidRDefault="000C46DA">
      <w:pPr>
        <w:pStyle w:val="Heading3"/>
        <w:spacing w:before="180" w:after="90"/>
      </w:pPr>
      <w:r>
        <w:rPr>
          <w:rFonts w:ascii="Calibri" w:eastAsia="Calibri" w:hAnsi="Calibri" w:cs="Calibri"/>
          <w:b/>
          <w:bCs/>
          <w:color w:val="1F3864"/>
          <w:sz w:val="22"/>
          <w:szCs w:val="22"/>
        </w:rPr>
        <w:t>Out of Scope</w:t>
      </w:r>
    </w:p>
    <w:p w:rsidR="00CB2660" w:rsidRDefault="000C46DA">
      <w:pPr>
        <w:pStyle w:val="ListParagraph"/>
        <w:numPr>
          <w:ilvl w:val="0"/>
          <w:numId w:val="2"/>
        </w:numPr>
        <w:spacing w:after="90" w:line="270" w:lineRule="auto"/>
      </w:pPr>
      <w:r>
        <w:rPr>
          <w:rFonts w:ascii="Calibri" w:eastAsia="Calibri" w:hAnsi="Calibri" w:cs="Calibri"/>
          <w:sz w:val="22"/>
          <w:szCs w:val="22"/>
        </w:rPr>
        <w:t>AI recommendations</w:t>
      </w:r>
    </w:p>
    <w:p w:rsidR="00802A03" w:rsidRPr="00802A03" w:rsidRDefault="000C46DA" w:rsidP="00802A03">
      <w:pPr>
        <w:pStyle w:val="ListParagraph"/>
        <w:numPr>
          <w:ilvl w:val="0"/>
          <w:numId w:val="2"/>
        </w:numPr>
        <w:spacing w:after="90" w:line="270" w:lineRule="auto"/>
      </w:pPr>
      <w:r>
        <w:rPr>
          <w:rFonts w:ascii="Calibri" w:eastAsia="Calibri" w:hAnsi="Calibri" w:cs="Calibri"/>
          <w:sz w:val="22"/>
          <w:szCs w:val="22"/>
        </w:rPr>
        <w:t>Fraud detection</w:t>
      </w:r>
    </w:p>
    <w:p w:rsidR="00CB2660" w:rsidRPr="00802A03" w:rsidRDefault="000C46DA" w:rsidP="00802A03">
      <w:pPr>
        <w:pStyle w:val="Heading1"/>
        <w:pBdr>
          <w:bottom w:val="single" w:sz="8" w:space="4" w:color="2E74B5"/>
        </w:pBdr>
        <w:spacing w:before="420" w:after="220"/>
        <w:rPr>
          <w:rFonts w:ascii="Calibri" w:eastAsia="Calibri" w:hAnsi="Calibri" w:cs="Calibri"/>
          <w:b/>
          <w:bCs/>
          <w:color w:val="1F3864"/>
        </w:rPr>
      </w:pPr>
      <w:r w:rsidRPr="00802A03">
        <w:rPr>
          <w:rFonts w:ascii="Calibri" w:eastAsia="Calibri" w:hAnsi="Calibri" w:cs="Calibri"/>
          <w:b/>
          <w:bCs/>
          <w:color w:val="1F3864"/>
        </w:rPr>
        <w:t>3. Requirements Engineering</w:t>
      </w:r>
    </w:p>
    <w:p w:rsidR="00CB2660" w:rsidRDefault="000C46DA">
      <w:pPr>
        <w:pStyle w:val="Heading2"/>
        <w:spacing w:before="260" w:after="130"/>
      </w:pPr>
      <w:r>
        <w:rPr>
          <w:rFonts w:ascii="Calibri" w:eastAsia="Calibri" w:hAnsi="Calibri" w:cs="Calibri"/>
          <w:b/>
          <w:bCs/>
          <w:sz w:val="25"/>
          <w:szCs w:val="25"/>
        </w:rPr>
        <w:t>Functional Requirements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730"/>
        <w:gridCol w:w="8990"/>
      </w:tblGrid>
      <w:tr w:rsidR="00CB2660">
        <w:trPr>
          <w:tblHeader/>
        </w:trPr>
        <w:tc>
          <w:tcPr>
            <w:tcW w:w="7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w:t>
            </w:r>
          </w:p>
        </w:tc>
        <w:tc>
          <w:tcPr>
            <w:tcW w:w="86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Requirement</w:t>
            </w:r>
          </w:p>
        </w:tc>
      </w:tr>
      <w:tr w:rsidR="00CB2660">
        <w:tc>
          <w:tcPr>
            <w:tcW w:w="7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1</w:t>
            </w:r>
          </w:p>
        </w:tc>
        <w:tc>
          <w:tcPr>
            <w:tcW w:w="86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Capture customer interaction events.</w:t>
            </w:r>
          </w:p>
        </w:tc>
      </w:tr>
      <w:tr w:rsidR="00CB2660">
        <w:tc>
          <w:tcPr>
            <w:tcW w:w="7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2</w:t>
            </w:r>
          </w:p>
        </w:tc>
        <w:tc>
          <w:tcPr>
            <w:tcW w:w="86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Process events in near real time.</w:t>
            </w:r>
          </w:p>
        </w:tc>
      </w:tr>
      <w:tr w:rsidR="00CB2660">
        <w:tc>
          <w:tcPr>
            <w:tcW w:w="7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3</w:t>
            </w:r>
          </w:p>
        </w:tc>
        <w:tc>
          <w:tcPr>
            <w:tcW w:w="86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Aggregate campaign metrics.</w:t>
            </w:r>
          </w:p>
        </w:tc>
      </w:tr>
      <w:tr w:rsidR="00CB2660">
        <w:tc>
          <w:tcPr>
            <w:tcW w:w="7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4</w:t>
            </w:r>
          </w:p>
        </w:tc>
        <w:tc>
          <w:tcPr>
            <w:tcW w:w="86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Expose campaign insights through secure REST APIs.</w:t>
            </w:r>
          </w:p>
        </w:tc>
      </w:tr>
      <w:tr w:rsidR="00CB2660">
        <w:tc>
          <w:tcPr>
            <w:tcW w:w="7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5</w:t>
            </w:r>
          </w:p>
        </w:tc>
        <w:tc>
          <w:tcPr>
            <w:tcW w:w="86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Support multiple retailers (multi-tenant).</w:t>
            </w:r>
          </w:p>
        </w:tc>
      </w:tr>
      <w:tr w:rsidR="00CB2660">
        <w:tc>
          <w:tcPr>
            <w:tcW w:w="7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6</w:t>
            </w:r>
          </w:p>
        </w:tc>
        <w:tc>
          <w:tcPr>
            <w:tcW w:w="86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Store operational and analytical data separately.</w:t>
            </w:r>
          </w:p>
        </w:tc>
      </w:tr>
    </w:tbl>
    <w:p w:rsidR="00CB2660" w:rsidRDefault="00CB2660">
      <w:pPr>
        <w:spacing w:after="160"/>
      </w:pPr>
    </w:p>
    <w:p w:rsidR="00CB2660" w:rsidRDefault="000C46DA">
      <w:pPr>
        <w:pStyle w:val="Heading2"/>
        <w:spacing w:before="260" w:after="130"/>
      </w:pPr>
      <w:r>
        <w:rPr>
          <w:rFonts w:ascii="Calibri" w:eastAsia="Calibri" w:hAnsi="Calibri" w:cs="Calibri"/>
          <w:b/>
          <w:bCs/>
          <w:sz w:val="25"/>
          <w:szCs w:val="25"/>
        </w:rPr>
        <w:t>Non-Functional Requirements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607"/>
        <w:gridCol w:w="7113"/>
      </w:tblGrid>
      <w:tr w:rsidR="00CB2660">
        <w:trPr>
          <w:tblHeader/>
        </w:trPr>
        <w:tc>
          <w:tcPr>
            <w:tcW w:w="25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Category</w:t>
            </w:r>
          </w:p>
        </w:tc>
        <w:tc>
          <w:tcPr>
            <w:tcW w:w="68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Requirement</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Scalability</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Independently scale ingestion, processing and API layers.</w:t>
            </w:r>
          </w:p>
        </w:tc>
      </w:tr>
      <w:tr w:rsidR="00CB2660">
        <w:tc>
          <w:tcPr>
            <w:tcW w:w="25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Availability</w:t>
            </w:r>
          </w:p>
        </w:tc>
        <w:tc>
          <w:tcPr>
            <w:tcW w:w="68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Highly available platform with no single point of failure.</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Performance</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Low latency for event ingestion and dashboard APIs.</w:t>
            </w:r>
          </w:p>
        </w:tc>
      </w:tr>
      <w:tr w:rsidR="00CB2660">
        <w:tc>
          <w:tcPr>
            <w:tcW w:w="25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Security</w:t>
            </w:r>
          </w:p>
        </w:tc>
        <w:tc>
          <w:tcPr>
            <w:tcW w:w="68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Authentication, authorization and encryption.</w:t>
            </w:r>
          </w:p>
        </w:tc>
      </w:tr>
      <w:tr w:rsidR="00CB2660">
        <w:tc>
          <w:tcPr>
            <w:tcW w:w="25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Observability</w:t>
            </w:r>
          </w:p>
        </w:tc>
        <w:tc>
          <w:tcPr>
            <w:tcW w:w="68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Centralized logging, monitoring and tracing.</w:t>
            </w:r>
          </w:p>
        </w:tc>
      </w:tr>
      <w:tr w:rsidR="00CB2660">
        <w:tc>
          <w:tcPr>
            <w:tcW w:w="25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Maintainability</w:t>
            </w:r>
          </w:p>
        </w:tc>
        <w:tc>
          <w:tcPr>
            <w:tcW w:w="68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Modular architecture with clear service responsibilities.</w:t>
            </w:r>
          </w:p>
        </w:tc>
      </w:tr>
    </w:tbl>
    <w:p w:rsidR="00CB2660" w:rsidRDefault="00CB2660">
      <w:pPr>
        <w:spacing w:after="160"/>
      </w:pPr>
    </w:p>
    <w:p w:rsidR="00CB2660" w:rsidRDefault="000C46DA">
      <w:pPr>
        <w:pStyle w:val="Heading2"/>
        <w:spacing w:before="260" w:after="130"/>
      </w:pPr>
      <w:r>
        <w:rPr>
          <w:rFonts w:ascii="Calibri" w:eastAsia="Calibri" w:hAnsi="Calibri" w:cs="Calibri"/>
          <w:b/>
          <w:bCs/>
          <w:sz w:val="25"/>
          <w:szCs w:val="25"/>
        </w:rPr>
        <w:t>Assumptions</w:t>
      </w:r>
    </w:p>
    <w:p w:rsidR="00CB2660" w:rsidRDefault="000C46DA">
      <w:pPr>
        <w:pStyle w:val="ListParagraph"/>
        <w:numPr>
          <w:ilvl w:val="0"/>
          <w:numId w:val="2"/>
        </w:numPr>
        <w:spacing w:after="90" w:line="270" w:lineRule="auto"/>
      </w:pPr>
      <w:r>
        <w:rPr>
          <w:rFonts w:ascii="Calibri" w:eastAsia="Calibri" w:hAnsi="Calibri" w:cs="Calibri"/>
          <w:sz w:val="22"/>
          <w:szCs w:val="22"/>
        </w:rPr>
        <w:t>Retailers integrate using SDKs.</w:t>
      </w:r>
    </w:p>
    <w:p w:rsidR="00CB2660" w:rsidRDefault="000C46DA">
      <w:pPr>
        <w:pStyle w:val="ListParagraph"/>
        <w:numPr>
          <w:ilvl w:val="0"/>
          <w:numId w:val="2"/>
        </w:numPr>
        <w:spacing w:after="90" w:line="270" w:lineRule="auto"/>
      </w:pPr>
      <w:r>
        <w:rPr>
          <w:rFonts w:ascii="Calibri" w:eastAsia="Calibri" w:hAnsi="Calibri" w:cs="Calibri"/>
          <w:sz w:val="22"/>
          <w:szCs w:val="22"/>
        </w:rPr>
        <w:t>Customer events are immutable.</w:t>
      </w:r>
    </w:p>
    <w:p w:rsidR="00CB2660" w:rsidRDefault="000C46DA">
      <w:pPr>
        <w:pStyle w:val="ListParagraph"/>
        <w:numPr>
          <w:ilvl w:val="0"/>
          <w:numId w:val="2"/>
        </w:numPr>
        <w:spacing w:after="90" w:line="270" w:lineRule="auto"/>
      </w:pPr>
      <w:r>
        <w:rPr>
          <w:rFonts w:ascii="Calibri" w:eastAsia="Calibri" w:hAnsi="Calibri" w:cs="Calibri"/>
          <w:sz w:val="22"/>
          <w:szCs w:val="22"/>
        </w:rPr>
        <w:t>Every request contains tenant information.</w:t>
      </w:r>
    </w:p>
    <w:p w:rsidR="00CB2660" w:rsidRDefault="000C46DA">
      <w:pPr>
        <w:pStyle w:val="ListParagraph"/>
        <w:numPr>
          <w:ilvl w:val="0"/>
          <w:numId w:val="2"/>
        </w:numPr>
        <w:spacing w:after="90" w:line="270" w:lineRule="auto"/>
      </w:pPr>
      <w:r>
        <w:rPr>
          <w:rFonts w:ascii="Calibri" w:eastAsia="Calibri" w:hAnsi="Calibri" w:cs="Calibri"/>
          <w:sz w:val="22"/>
          <w:szCs w:val="22"/>
        </w:rPr>
        <w:t>Near real-time processing is sufficient for business reporting.</w:t>
      </w:r>
    </w:p>
    <w:p w:rsidR="00CB2660" w:rsidRPr="00B2218F" w:rsidRDefault="000C46DA" w:rsidP="00B2218F">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4. Capacity Planning</w:t>
      </w:r>
    </w:p>
    <w:p w:rsidR="00CB2660" w:rsidRDefault="000C46DA">
      <w:pPr>
        <w:spacing w:after="160" w:line="276" w:lineRule="auto"/>
      </w:pPr>
      <w:r>
        <w:rPr>
          <w:rFonts w:ascii="Calibri" w:eastAsia="Calibri" w:hAnsi="Calibri" w:cs="Calibri"/>
          <w:sz w:val="22"/>
          <w:szCs w:val="22"/>
        </w:rPr>
        <w:t>The following engineering assumptions are used to guide the architecture and infrastructure design.</w:t>
      </w:r>
    </w:p>
    <w:p w:rsidR="00CB2660" w:rsidRDefault="000C46DA">
      <w:pPr>
        <w:pStyle w:val="Heading2"/>
        <w:spacing w:before="260" w:after="130"/>
      </w:pPr>
      <w:r>
        <w:rPr>
          <w:rFonts w:ascii="Calibri" w:eastAsia="Calibri" w:hAnsi="Calibri" w:cs="Calibri"/>
          <w:b/>
          <w:bCs/>
          <w:sz w:val="25"/>
          <w:szCs w:val="25"/>
        </w:rPr>
        <w:t>Capacity Assumptions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4673"/>
        <w:gridCol w:w="5047"/>
      </w:tblGrid>
      <w:tr w:rsidR="00CB2660" w:rsidTr="00FB55F3">
        <w:trPr>
          <w:tblHeader/>
        </w:trPr>
        <w:tc>
          <w:tcPr>
            <w:tcW w:w="4673"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Metric</w:t>
            </w:r>
          </w:p>
        </w:tc>
        <w:tc>
          <w:tcPr>
            <w:tcW w:w="5047"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Value</w:t>
            </w:r>
          </w:p>
        </w:tc>
      </w:tr>
      <w:tr w:rsidR="00CB2660" w:rsidTr="00FB55F3">
        <w:tc>
          <w:tcPr>
            <w:tcW w:w="4673"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Daily Active Users</w:t>
            </w:r>
          </w:p>
        </w:tc>
        <w:tc>
          <w:tcPr>
            <w:tcW w:w="5047" w:type="dxa"/>
            <w:shd w:val="clear" w:color="auto" w:fill="FFFFFF"/>
            <w:tcMar>
              <w:top w:w="90" w:type="dxa"/>
              <w:left w:w="120" w:type="dxa"/>
              <w:bottom w:w="90" w:type="dxa"/>
              <w:right w:w="120" w:type="dxa"/>
            </w:tcMar>
          </w:tcPr>
          <w:p w:rsidR="00CB2660" w:rsidRDefault="0043083C">
            <w:pPr>
              <w:spacing w:line="260" w:lineRule="auto"/>
            </w:pPr>
            <w:r>
              <w:rPr>
                <w:rFonts w:ascii="Calibri" w:eastAsia="Calibri" w:hAnsi="Calibri" w:cs="Calibri"/>
              </w:rPr>
              <w:t>~1</w:t>
            </w:r>
            <w:r w:rsidR="000C46DA">
              <w:rPr>
                <w:rFonts w:ascii="Calibri" w:eastAsia="Calibri" w:hAnsi="Calibri" w:cs="Calibri"/>
              </w:rPr>
              <w:t xml:space="preserve"> Million</w:t>
            </w:r>
          </w:p>
        </w:tc>
      </w:tr>
      <w:tr w:rsidR="00CB2660" w:rsidTr="00FB55F3">
        <w:tc>
          <w:tcPr>
            <w:tcW w:w="4673"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Events per User</w:t>
            </w:r>
          </w:p>
        </w:tc>
        <w:tc>
          <w:tcPr>
            <w:tcW w:w="5047"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40</w:t>
            </w:r>
          </w:p>
        </w:tc>
      </w:tr>
      <w:tr w:rsidR="00CB2660" w:rsidTr="00FB55F3">
        <w:tc>
          <w:tcPr>
            <w:tcW w:w="4673"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Daily Events</w:t>
            </w:r>
          </w:p>
        </w:tc>
        <w:tc>
          <w:tcPr>
            <w:tcW w:w="5047" w:type="dxa"/>
            <w:shd w:val="clear" w:color="auto" w:fill="FFFFFF"/>
            <w:tcMar>
              <w:top w:w="90" w:type="dxa"/>
              <w:left w:w="120" w:type="dxa"/>
              <w:bottom w:w="90" w:type="dxa"/>
              <w:right w:w="120" w:type="dxa"/>
            </w:tcMar>
          </w:tcPr>
          <w:p w:rsidR="00CB2660" w:rsidRDefault="0043083C">
            <w:pPr>
              <w:spacing w:line="260" w:lineRule="auto"/>
            </w:pPr>
            <w:r>
              <w:rPr>
                <w:rFonts w:ascii="Calibri" w:eastAsia="Calibri" w:hAnsi="Calibri" w:cs="Calibri"/>
              </w:rPr>
              <w:t>~40</w:t>
            </w:r>
            <w:r w:rsidR="000C46DA">
              <w:rPr>
                <w:rFonts w:ascii="Calibri" w:eastAsia="Calibri" w:hAnsi="Calibri" w:cs="Calibri"/>
              </w:rPr>
              <w:t xml:space="preserve"> Billion</w:t>
            </w:r>
          </w:p>
        </w:tc>
      </w:tr>
      <w:tr w:rsidR="00CB2660" w:rsidTr="00FB55F3">
        <w:tc>
          <w:tcPr>
            <w:tcW w:w="4673"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Average Throughput</w:t>
            </w:r>
          </w:p>
        </w:tc>
        <w:tc>
          <w:tcPr>
            <w:tcW w:w="5047" w:type="dxa"/>
            <w:shd w:val="clear" w:color="auto" w:fill="F2F7FC"/>
            <w:tcMar>
              <w:top w:w="90" w:type="dxa"/>
              <w:left w:w="120" w:type="dxa"/>
              <w:bottom w:w="90" w:type="dxa"/>
              <w:right w:w="120" w:type="dxa"/>
            </w:tcMar>
          </w:tcPr>
          <w:p w:rsidR="00CB2660" w:rsidRDefault="0043083C">
            <w:pPr>
              <w:spacing w:line="260" w:lineRule="auto"/>
            </w:pPr>
            <w:r>
              <w:rPr>
                <w:rFonts w:ascii="Calibri" w:eastAsia="Calibri" w:hAnsi="Calibri" w:cs="Calibri"/>
              </w:rPr>
              <w:t>~463</w:t>
            </w:r>
            <w:r w:rsidR="000C46DA">
              <w:rPr>
                <w:rFonts w:ascii="Calibri" w:eastAsia="Calibri" w:hAnsi="Calibri" w:cs="Calibri"/>
              </w:rPr>
              <w:t xml:space="preserve"> events/sec</w:t>
            </w:r>
          </w:p>
        </w:tc>
      </w:tr>
      <w:tr w:rsidR="00CB2660" w:rsidTr="00FB55F3">
        <w:tc>
          <w:tcPr>
            <w:tcW w:w="4673"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Peak Throughput</w:t>
            </w:r>
          </w:p>
        </w:tc>
        <w:tc>
          <w:tcPr>
            <w:tcW w:w="5047" w:type="dxa"/>
            <w:shd w:val="clear" w:color="auto" w:fill="FFFFFF"/>
            <w:tcMar>
              <w:top w:w="90" w:type="dxa"/>
              <w:left w:w="120" w:type="dxa"/>
              <w:bottom w:w="90" w:type="dxa"/>
              <w:right w:w="120" w:type="dxa"/>
            </w:tcMar>
          </w:tcPr>
          <w:p w:rsidR="00CB2660" w:rsidRDefault="0043083C">
            <w:pPr>
              <w:spacing w:line="260" w:lineRule="auto"/>
            </w:pPr>
            <w:r>
              <w:rPr>
                <w:rFonts w:ascii="Calibri" w:eastAsia="Calibri" w:hAnsi="Calibri" w:cs="Calibri"/>
              </w:rPr>
              <w:t>~4.6</w:t>
            </w:r>
            <w:r w:rsidR="000C46DA">
              <w:rPr>
                <w:rFonts w:ascii="Calibri" w:eastAsia="Calibri" w:hAnsi="Calibri" w:cs="Calibri"/>
              </w:rPr>
              <w:t>K events/sec</w:t>
            </w:r>
          </w:p>
        </w:tc>
      </w:tr>
      <w:tr w:rsidR="00CB2660" w:rsidTr="00FB55F3">
        <w:tc>
          <w:tcPr>
            <w:tcW w:w="4673"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Average Event Size</w:t>
            </w:r>
          </w:p>
        </w:tc>
        <w:tc>
          <w:tcPr>
            <w:tcW w:w="5047"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1 KB</w:t>
            </w:r>
          </w:p>
        </w:tc>
      </w:tr>
      <w:tr w:rsidR="00CB2660" w:rsidTr="00FB55F3">
        <w:trPr>
          <w:trHeight w:val="391"/>
        </w:trPr>
        <w:tc>
          <w:tcPr>
            <w:tcW w:w="4673" w:type="dxa"/>
            <w:shd w:val="clear" w:color="auto" w:fill="FFFFFF"/>
            <w:tcMar>
              <w:top w:w="90" w:type="dxa"/>
              <w:left w:w="120" w:type="dxa"/>
              <w:bottom w:w="9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53752E" w:rsidRPr="0053752E" w:rsidTr="0053752E">
              <w:trPr>
                <w:tblCellSpacing w:w="15" w:type="dxa"/>
              </w:trPr>
              <w:tc>
                <w:tcPr>
                  <w:tcW w:w="0" w:type="auto"/>
                  <w:vAlign w:val="center"/>
                  <w:hideMark/>
                </w:tcPr>
                <w:p w:rsidR="0053752E" w:rsidRPr="0053752E" w:rsidRDefault="0053752E" w:rsidP="0053752E">
                  <w:pPr>
                    <w:spacing w:line="260" w:lineRule="auto"/>
                    <w:rPr>
                      <w:rFonts w:ascii="Calibri" w:eastAsia="Calibri" w:hAnsi="Calibri" w:cs="Calibri"/>
                    </w:rPr>
                  </w:pPr>
                  <w:r w:rsidRPr="0053752E">
                    <w:rPr>
                      <w:rFonts w:ascii="Calibri" w:eastAsia="Calibri" w:hAnsi="Calibri" w:cs="Calibri"/>
                    </w:rPr>
                    <w:t xml:space="preserve">Ingestion </w:t>
                  </w:r>
                  <w:r w:rsidR="00FB55F3">
                    <w:rPr>
                      <w:rFonts w:ascii="Calibri" w:eastAsia="Calibri" w:hAnsi="Calibri" w:cs="Calibri"/>
                    </w:rPr>
                    <w:t>Layer (Collector → SQL</w:t>
                  </w:r>
                  <w:r w:rsidRPr="0053752E">
                    <w:rPr>
                      <w:rFonts w:ascii="Calibri" w:eastAsia="Calibri" w:hAnsi="Calibri" w:cs="Calibri"/>
                    </w:rPr>
                    <w:t>)</w:t>
                  </w:r>
                </w:p>
              </w:tc>
            </w:tr>
          </w:tbl>
          <w:p w:rsidR="00CB2660" w:rsidRPr="0053752E" w:rsidRDefault="00CB2660">
            <w:pPr>
              <w:spacing w:line="260" w:lineRule="auto"/>
              <w:rPr>
                <w:rFonts w:ascii="Calibri" w:eastAsia="Calibri" w:hAnsi="Calibri" w:cs="Calibri"/>
              </w:rPr>
            </w:pPr>
          </w:p>
        </w:tc>
        <w:tc>
          <w:tcPr>
            <w:tcW w:w="5047" w:type="dxa"/>
            <w:shd w:val="clear" w:color="auto" w:fill="FFFFFF"/>
            <w:tcMar>
              <w:top w:w="90" w:type="dxa"/>
              <w:left w:w="120" w:type="dxa"/>
              <w:bottom w:w="9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3"/>
            </w:tblGrid>
            <w:tr w:rsidR="0053752E" w:rsidRPr="0053752E" w:rsidTr="0053752E">
              <w:trPr>
                <w:tblCellSpacing w:w="15" w:type="dxa"/>
              </w:trPr>
              <w:tc>
                <w:tcPr>
                  <w:tcW w:w="0" w:type="auto"/>
                  <w:vAlign w:val="center"/>
                  <w:hideMark/>
                </w:tcPr>
                <w:p w:rsidR="0053752E" w:rsidRPr="0053752E" w:rsidRDefault="0053752E" w:rsidP="00FB55F3">
                  <w:pPr>
                    <w:spacing w:line="260" w:lineRule="auto"/>
                    <w:rPr>
                      <w:rFonts w:ascii="Calibri" w:eastAsia="Calibri" w:hAnsi="Calibri" w:cs="Calibri"/>
                    </w:rPr>
                  </w:pPr>
                  <w:r w:rsidRPr="0053752E">
                    <w:rPr>
                      <w:rFonts w:ascii="Calibri" w:eastAsia="Calibri" w:hAnsi="Calibri" w:cs="Calibri"/>
                    </w:rPr>
                    <w:t>Write-Heavy</w:t>
                  </w:r>
                </w:p>
              </w:tc>
            </w:tr>
          </w:tbl>
          <w:p w:rsidR="00CB2660" w:rsidRPr="0053752E" w:rsidRDefault="00CB2660">
            <w:pPr>
              <w:spacing w:line="260" w:lineRule="auto"/>
              <w:rPr>
                <w:rFonts w:ascii="Calibri" w:eastAsia="Calibri" w:hAnsi="Calibri" w:cs="Calibri"/>
              </w:rPr>
            </w:pPr>
          </w:p>
        </w:tc>
      </w:tr>
      <w:tr w:rsidR="00FB55F3" w:rsidTr="00BF14B9">
        <w:trPr>
          <w:trHeight w:val="391"/>
        </w:trPr>
        <w:tc>
          <w:tcPr>
            <w:tcW w:w="4673" w:type="dxa"/>
            <w:tcBorders>
              <w:top w:val="single" w:sz="4" w:space="0" w:color="D9D9D9"/>
              <w:left w:val="single" w:sz="4" w:space="0" w:color="BFBFBF"/>
              <w:bottom w:val="single" w:sz="4" w:space="0" w:color="BFBFBF"/>
              <w:right w:val="single" w:sz="4" w:space="0" w:color="D9D9D9"/>
            </w:tcBorders>
            <w:shd w:val="clear" w:color="auto" w:fill="auto"/>
            <w:tcMar>
              <w:top w:w="90" w:type="dxa"/>
              <w:left w:w="120" w:type="dxa"/>
              <w:bottom w:w="90" w:type="dxa"/>
              <w:right w:w="120" w:type="dxa"/>
            </w:tcMar>
          </w:tcPr>
          <w:p w:rsidR="00FB55F3" w:rsidRDefault="00FB55F3" w:rsidP="00411914">
            <w:pPr>
              <w:spacing w:line="260" w:lineRule="auto"/>
            </w:pPr>
            <w:r w:rsidRPr="00FB55F3">
              <w:rPr>
                <w:rFonts w:ascii="Calibri" w:eastAsia="Calibri" w:hAnsi="Calibri" w:cs="Calibri"/>
              </w:rPr>
              <w:t>Analytics Layer (Insights API → Redis → BigQuery)</w:t>
            </w:r>
          </w:p>
        </w:tc>
        <w:tc>
          <w:tcPr>
            <w:tcW w:w="5047" w:type="dxa"/>
            <w:tcBorders>
              <w:top w:val="single" w:sz="4" w:space="0" w:color="D9D9D9"/>
              <w:left w:val="single" w:sz="4" w:space="0" w:color="D9D9D9"/>
              <w:bottom w:val="single" w:sz="4" w:space="0" w:color="BFBFBF"/>
              <w:right w:val="single" w:sz="4" w:space="0" w:color="BFBFBF"/>
            </w:tcBorders>
            <w:shd w:val="clear" w:color="auto" w:fill="auto"/>
            <w:tcMar>
              <w:top w:w="90" w:type="dxa"/>
              <w:left w:w="120" w:type="dxa"/>
              <w:bottom w:w="90" w:type="dxa"/>
              <w:right w:w="120" w:type="dxa"/>
            </w:tcMar>
          </w:tcPr>
          <w:p w:rsidR="00FB55F3" w:rsidRDefault="00FB55F3" w:rsidP="00411914">
            <w:pPr>
              <w:spacing w:line="260" w:lineRule="auto"/>
            </w:pPr>
            <w:r>
              <w:rPr>
                <w:rFonts w:ascii="Calibri" w:eastAsia="Calibri" w:hAnsi="Calibri" w:cs="Calibri"/>
              </w:rPr>
              <w:t>Read-Heavy</w:t>
            </w:r>
          </w:p>
        </w:tc>
      </w:tr>
    </w:tbl>
    <w:p w:rsidR="00CB2660" w:rsidRDefault="00CB2660">
      <w:pPr>
        <w:spacing w:after="160"/>
      </w:pPr>
    </w:p>
    <w:p w:rsidR="00CB2660" w:rsidRDefault="000C46DA">
      <w:pPr>
        <w:pStyle w:val="Heading2"/>
        <w:spacing w:before="260" w:after="130"/>
      </w:pPr>
      <w:r>
        <w:rPr>
          <w:rFonts w:ascii="Calibri" w:eastAsia="Calibri" w:hAnsi="Calibri" w:cs="Calibri"/>
          <w:b/>
          <w:bCs/>
          <w:sz w:val="25"/>
          <w:szCs w:val="25"/>
        </w:rPr>
        <w:t>Workload Characteristics</w:t>
      </w:r>
    </w:p>
    <w:p w:rsidR="006C5B81" w:rsidRDefault="006C5B81">
      <w:pPr>
        <w:pStyle w:val="Heading2"/>
        <w:spacing w:before="260" w:after="130"/>
        <w:rPr>
          <w:rFonts w:ascii="Calibri" w:eastAsia="Calibri" w:hAnsi="Calibri" w:cs="Calibri"/>
          <w:color w:val="auto"/>
          <w:sz w:val="22"/>
          <w:szCs w:val="22"/>
        </w:rPr>
      </w:pPr>
      <w:r w:rsidRPr="006C5B81">
        <w:rPr>
          <w:rFonts w:ascii="Calibri" w:eastAsia="Calibri" w:hAnsi="Calibri" w:cs="Calibri"/>
          <w:color w:val="auto"/>
          <w:sz w:val="22"/>
          <w:szCs w:val="22"/>
        </w:rPr>
        <w:t>The platform is operationally write-heavy because every customer interaction generates an event. Reads are optimized using CQRS, Redis, and BigQuery to provide low-latency dashboards and historical analytics without impacting event ingestion.</w:t>
      </w:r>
    </w:p>
    <w:p w:rsidR="00CB2660" w:rsidRDefault="000C46DA">
      <w:pPr>
        <w:pStyle w:val="Heading2"/>
        <w:spacing w:before="260" w:after="130"/>
      </w:pPr>
      <w:r>
        <w:rPr>
          <w:rFonts w:ascii="Calibri" w:eastAsia="Calibri" w:hAnsi="Calibri" w:cs="Calibri"/>
          <w:b/>
          <w:bCs/>
          <w:sz w:val="25"/>
          <w:szCs w:val="25"/>
        </w:rPr>
        <w:t>Design Impact</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3024"/>
        <w:gridCol w:w="6696"/>
      </w:tblGrid>
      <w:tr w:rsidR="00CB2660">
        <w:trPr>
          <w:tblHeader/>
        </w:trPr>
        <w:tc>
          <w:tcPr>
            <w:tcW w:w="29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Assumption</w:t>
            </w:r>
          </w:p>
        </w:tc>
        <w:tc>
          <w:tcPr>
            <w:tcW w:w="64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Architecture Decision</w:t>
            </w:r>
          </w:p>
        </w:tc>
      </w:tr>
      <w:tr w:rsidR="00CB2660">
        <w:tc>
          <w:tcPr>
            <w:tcW w:w="29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High Event Volume</w:t>
            </w:r>
          </w:p>
        </w:tc>
        <w:tc>
          <w:tcPr>
            <w:tcW w:w="64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Asynchronous event processing using Google Pub/Sub</w:t>
            </w:r>
          </w:p>
        </w:tc>
      </w:tr>
      <w:tr w:rsidR="00CB2660">
        <w:tc>
          <w:tcPr>
            <w:tcW w:w="29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Peak Traffic</w:t>
            </w:r>
          </w:p>
        </w:tc>
        <w:tc>
          <w:tcPr>
            <w:tcW w:w="64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Horizontal auto scaling</w:t>
            </w:r>
          </w:p>
        </w:tc>
      </w:tr>
      <w:tr w:rsidR="00CB2660">
        <w:tc>
          <w:tcPr>
            <w:tcW w:w="29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Read-Heavy Workload</w:t>
            </w:r>
          </w:p>
        </w:tc>
        <w:tc>
          <w:tcPr>
            <w:tcW w:w="64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Redis used as the primary read cache</w:t>
            </w:r>
          </w:p>
        </w:tc>
      </w:tr>
      <w:tr w:rsidR="00CB2660">
        <w:tc>
          <w:tcPr>
            <w:tcW w:w="29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lastRenderedPageBreak/>
              <w:t>Historical Reporting</w:t>
            </w:r>
          </w:p>
        </w:tc>
        <w:tc>
          <w:tcPr>
            <w:tcW w:w="64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BigQuery stores analytical data</w:t>
            </w:r>
          </w:p>
        </w:tc>
      </w:tr>
      <w:tr w:rsidR="00CB2660">
        <w:tc>
          <w:tcPr>
            <w:tcW w:w="29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Independent Scaling</w:t>
            </w:r>
          </w:p>
        </w:tc>
        <w:tc>
          <w:tcPr>
            <w:tcW w:w="64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Command and query workloads are scaled independently</w:t>
            </w:r>
          </w:p>
        </w:tc>
      </w:tr>
    </w:tbl>
    <w:p w:rsidR="00CB2660" w:rsidRPr="003C73E5" w:rsidRDefault="000C46DA" w:rsidP="003C73E5">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5. Architecture Principles</w:t>
      </w:r>
    </w:p>
    <w:p w:rsidR="00CB2660" w:rsidRDefault="000C46DA">
      <w:pPr>
        <w:spacing w:after="160" w:line="276" w:lineRule="auto"/>
      </w:pPr>
      <w:r>
        <w:rPr>
          <w:rFonts w:ascii="Calibri" w:eastAsia="Calibri" w:hAnsi="Calibri" w:cs="Calibri"/>
          <w:sz w:val="22"/>
          <w:szCs w:val="22"/>
        </w:rPr>
        <w:t>The proposed solution is designed using a small set of architectural principles that guide technology selection and system evolution.</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Principle</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Description</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Cloud Native</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Leverage managed cloud services and containerized workloads.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Event-Driven</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Process high-volume events asynchronously.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Multi-Tenant</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Support multiple retailers on a shared platform with tenant isolation.</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Security by Design</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Apply authentication, authorization and encryption across all layers.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Scalability</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Independently scale platform components based on workload.</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Observability</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Enable centralized monitoring, logging and tracing.</w:t>
            </w:r>
          </w:p>
        </w:tc>
      </w:tr>
    </w:tbl>
    <w:p w:rsidR="00CB2660" w:rsidRPr="003C73E5" w:rsidRDefault="000C46DA" w:rsidP="003C73E5">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6. Solution Overview</w:t>
      </w:r>
    </w:p>
    <w:p w:rsidR="00CB2660" w:rsidRDefault="000C46DA">
      <w:pPr>
        <w:spacing w:after="160" w:line="276" w:lineRule="auto"/>
      </w:pPr>
      <w:r>
        <w:rPr>
          <w:rFonts w:ascii="Calibri" w:eastAsia="Calibri" w:hAnsi="Calibri" w:cs="Calibri"/>
          <w:sz w:val="22"/>
          <w:szCs w:val="22"/>
        </w:rPr>
        <w:t>The platform follows a hybrid architecture where synchronous APIs are used for client interactions, while asynchronous messaging is used for event processing. This separation improves scalability, resilience and operational flexibility.</w:t>
      </w:r>
    </w:p>
    <w:p w:rsidR="00CB2660" w:rsidRDefault="000C46DA">
      <w:pPr>
        <w:pStyle w:val="Heading2"/>
        <w:spacing w:before="260" w:after="130"/>
      </w:pPr>
      <w:r>
        <w:rPr>
          <w:rFonts w:ascii="Calibri" w:eastAsia="Calibri" w:hAnsi="Calibri" w:cs="Calibri"/>
          <w:b/>
          <w:bCs/>
          <w:sz w:val="25"/>
          <w:szCs w:val="25"/>
        </w:rPr>
        <w:t>Core Components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Component</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Responsibility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API Gateway</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Secure entry point and request routing</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 Collector</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Validate event schema, resolve tenant, generate correlation ID, validate authentication context, normalize payloads, enforce idempotency, publish events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Pub/Sub</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Reliable event transport</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 Processor</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Process and enrich events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Metrics Aggregator</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Calculate campaign metrics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SQL Server</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Operational data</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Redis</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Read cache</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BigQuery</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Historical analytics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lastRenderedPageBreak/>
              <w:t>Insights API</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Expose campaign insights. Serves two query modes: real-time queries read live, atomically-maintained counters directly from Redis, current as of the last proce</w:t>
            </w:r>
            <w:r w:rsidR="006E09BE">
              <w:rPr>
                <w:rFonts w:ascii="Calibri" w:eastAsia="Calibri" w:hAnsi="Calibri" w:cs="Calibri"/>
              </w:rPr>
              <w:t>ssed event with no cache expiry,</w:t>
            </w:r>
            <w:r>
              <w:rPr>
                <w:rFonts w:ascii="Calibri" w:eastAsia="Calibri" w:hAnsi="Calibri" w:cs="Calibri"/>
              </w:rPr>
              <w:t xml:space="preserve"> if a counter is not yet present in Redis (for example immediately after a cold start, before recovery completes), the query falls back to the last durable snapshot in the analytics store. Historical queries (with a 'from' and 'to' date range) are routed to BigQuery, which holds the full event history. The routing decision is made inside the query handler, which maps HTTP parameters to a query object without the controller being aware of which store is used.</w:t>
            </w:r>
          </w:p>
        </w:tc>
      </w:tr>
    </w:tbl>
    <w:p w:rsidR="00CB2660" w:rsidRDefault="000C46DA">
      <w:pPr>
        <w:pStyle w:val="Heading2"/>
        <w:spacing w:before="260" w:after="130"/>
        <w:rPr>
          <w:rFonts w:ascii="Calibri" w:eastAsia="Calibri" w:hAnsi="Calibri" w:cs="Calibri"/>
          <w:b/>
          <w:bCs/>
          <w:sz w:val="25"/>
          <w:szCs w:val="25"/>
        </w:rPr>
      </w:pPr>
      <w:r>
        <w:rPr>
          <w:rFonts w:ascii="Calibri" w:eastAsia="Calibri" w:hAnsi="Calibri" w:cs="Calibri"/>
          <w:b/>
          <w:bCs/>
          <w:sz w:val="25"/>
          <w:szCs w:val="25"/>
        </w:rPr>
        <w:t>Solution Overview Diagram</w:t>
      </w:r>
    </w:p>
    <w:p w:rsidR="00B2218F" w:rsidRDefault="00B2218F">
      <w:pPr>
        <w:pStyle w:val="Heading2"/>
        <w:spacing w:before="260" w:after="130"/>
      </w:pPr>
      <w:r>
        <w:rPr>
          <w:noProof/>
        </w:rPr>
        <w:drawing>
          <wp:inline distT="0" distB="0" distL="0" distR="0" wp14:anchorId="5F13FD56" wp14:editId="1CEAA52F">
            <wp:extent cx="4772847" cy="5759532"/>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28523" cy="5826718"/>
                    </a:xfrm>
                    <a:prstGeom prst="rect">
                      <a:avLst/>
                    </a:prstGeom>
                  </pic:spPr>
                </pic:pic>
              </a:graphicData>
            </a:graphic>
          </wp:inline>
        </w:drawing>
      </w:r>
    </w:p>
    <w:p w:rsidR="001913E5" w:rsidRPr="001913E5" w:rsidRDefault="001913E5" w:rsidP="001913E5">
      <w:pPr>
        <w:spacing w:before="120" w:after="240"/>
        <w:jc w:val="center"/>
      </w:pPr>
    </w:p>
    <w:p w:rsidR="00CB2660" w:rsidRDefault="00CB2660">
      <w:pPr>
        <w:spacing w:before="120" w:after="240"/>
        <w:jc w:val="center"/>
      </w:pPr>
    </w:p>
    <w:p w:rsidR="00CB2660" w:rsidRPr="003E740A" w:rsidRDefault="000C46DA" w:rsidP="003E740A">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7. End-to-End Data Flow</w:t>
      </w:r>
    </w:p>
    <w:p w:rsidR="00CB2660" w:rsidRDefault="000C46DA">
      <w:pPr>
        <w:spacing w:after="160" w:line="276" w:lineRule="auto"/>
      </w:pPr>
      <w:r>
        <w:rPr>
          <w:rFonts w:ascii="Calibri" w:eastAsia="Calibri" w:hAnsi="Calibri" w:cs="Calibri"/>
          <w:sz w:val="22"/>
          <w:szCs w:val="22"/>
        </w:rPr>
        <w:t>The platform captures customer interactions from retailer applications, validates each request, processes events asynchronously, and generates campaign insights that are exposed through secure APIs.</w:t>
      </w:r>
    </w:p>
    <w:p w:rsidR="00CB2660" w:rsidRDefault="000C46DA">
      <w:pPr>
        <w:pStyle w:val="Heading2"/>
        <w:spacing w:before="260" w:after="130"/>
      </w:pPr>
      <w:r>
        <w:rPr>
          <w:rFonts w:ascii="Calibri" w:eastAsia="Calibri" w:hAnsi="Calibri" w:cs="Calibri"/>
          <w:b/>
          <w:bCs/>
          <w:sz w:val="25"/>
          <w:szCs w:val="25"/>
        </w:rPr>
        <w:t>Processing Flow</w:t>
      </w:r>
    </w:p>
    <w:p w:rsidR="00CB2660" w:rsidRDefault="000C46DA">
      <w:pPr>
        <w:spacing w:after="160" w:line="276" w:lineRule="auto"/>
      </w:pPr>
      <w:r>
        <w:rPr>
          <w:rFonts w:ascii="Calibri" w:eastAsia="Calibri" w:hAnsi="Calibri" w:cs="Calibri"/>
          <w:sz w:val="22"/>
          <w:szCs w:val="22"/>
        </w:rPr>
        <w:t>The Event Processor enriches each event with session context. The retailer SDK generates a SessionId when a user lands on the page and passes it with every subsequent event during that visit. ClickToBasket conversion is calculated at the session level, as the percentage of sessions containing a click event that also contain a basket event, rather than as a raw ratio of total clicks to total impressions.</w:t>
      </w:r>
    </w:p>
    <w:p w:rsidR="00CB2660" w:rsidRDefault="000C46DA">
      <w:pPr>
        <w:pStyle w:val="Heading3"/>
        <w:spacing w:before="180" w:after="90"/>
      </w:pPr>
      <w:r>
        <w:rPr>
          <w:rFonts w:ascii="Calibri" w:eastAsia="Calibri" w:hAnsi="Calibri" w:cs="Calibri"/>
          <w:b/>
          <w:bCs/>
          <w:color w:val="1F3864"/>
          <w:sz w:val="22"/>
          <w:szCs w:val="22"/>
        </w:rPr>
        <w:t>Session Windowing Implementation</w:t>
      </w:r>
    </w:p>
    <w:p w:rsidR="00CB2660" w:rsidRDefault="000C46DA">
      <w:pPr>
        <w:spacing w:after="160" w:line="276" w:lineRule="auto"/>
      </w:pPr>
      <w:r>
        <w:rPr>
          <w:rFonts w:ascii="Calibri" w:eastAsia="Calibri" w:hAnsi="Calibri" w:cs="Calibri"/>
          <w:sz w:val="22"/>
          <w:szCs w:val="22"/>
        </w:rPr>
        <w:t>Session windowing is implemented directly within the Event Processor rather than through a dedicated stream processing framework. Each event's SessionId is used as a Redis key that accumul</w:t>
      </w:r>
      <w:r w:rsidR="008B1790">
        <w:rPr>
          <w:rFonts w:ascii="Calibri" w:eastAsia="Calibri" w:hAnsi="Calibri" w:cs="Calibri"/>
          <w:sz w:val="22"/>
          <w:szCs w:val="22"/>
        </w:rPr>
        <w:t>ates event types as they arrive,</w:t>
      </w:r>
      <w:r>
        <w:rPr>
          <w:rFonts w:ascii="Calibri" w:eastAsia="Calibri" w:hAnsi="Calibri" w:cs="Calibri"/>
          <w:sz w:val="22"/>
          <w:szCs w:val="22"/>
        </w:rPr>
        <w:t xml:space="preserve"> Redis's native key expiry (TTL, reset on every new event for that session) acts as the inactivity timer. Redis keyspace notifications are used to detect the expiry event itself, since TTL expiry alone is passive and the application needs an explicit trigger to know wh</w:t>
      </w:r>
      <w:r w:rsidR="008B1790">
        <w:rPr>
          <w:rFonts w:ascii="Calibri" w:eastAsia="Calibri" w:hAnsi="Calibri" w:cs="Calibri"/>
          <w:sz w:val="22"/>
          <w:szCs w:val="22"/>
        </w:rPr>
        <w:t>en to run the finalization step,</w:t>
      </w:r>
      <w:r>
        <w:rPr>
          <w:rFonts w:ascii="Calibri" w:eastAsia="Calibri" w:hAnsi="Calibri" w:cs="Calibri"/>
          <w:sz w:val="22"/>
          <w:szCs w:val="22"/>
        </w:rPr>
        <w:t xml:space="preserve"> when 30 minutes pass with no new event for a given SessionId, the keyspace notification fires and a finalization step reads the accumulated state before it is gone, writing it to the CustomerSession read model.</w:t>
      </w:r>
    </w:p>
    <w:p w:rsidR="00CB2660" w:rsidRPr="00FE7823" w:rsidRDefault="000C46DA" w:rsidP="00FE7823">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8. Deployment Architecture</w:t>
      </w:r>
    </w:p>
    <w:p w:rsidR="00CB2660" w:rsidRDefault="000C46DA">
      <w:pPr>
        <w:spacing w:after="160" w:line="276" w:lineRule="auto"/>
      </w:pPr>
      <w:r>
        <w:rPr>
          <w:rFonts w:ascii="Calibri" w:eastAsia="Calibri" w:hAnsi="Calibri" w:cs="Calibri"/>
          <w:sz w:val="22"/>
          <w:szCs w:val="22"/>
        </w:rPr>
        <w:t>The solution is deployed on Google Cloud Platform (GCP) using managed services to simplify operations, improve scalability, and reduce infrastructure management.</w:t>
      </w:r>
    </w:p>
    <w:p w:rsidR="00CB2660" w:rsidRDefault="000C46DA">
      <w:pPr>
        <w:pStyle w:val="Heading2"/>
        <w:spacing w:before="260" w:after="130"/>
      </w:pPr>
      <w:r>
        <w:rPr>
          <w:rFonts w:ascii="Calibri" w:eastAsia="Calibri" w:hAnsi="Calibri" w:cs="Calibri"/>
          <w:b/>
          <w:bCs/>
          <w:sz w:val="25"/>
          <w:szCs w:val="25"/>
        </w:rPr>
        <w:t>Deployment Components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Layer</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Technology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Global Load Balancer</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Google Cloud Load Balancer</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Container Platform</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Google Kubernetes Engine (GKE)</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Messaging</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Google Pub/Sub</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Database</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SQL Server</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Cache</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Redis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Analytics</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BigQuery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Secrets</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Secret Manager</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Monitoring</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Cloud Monitoring &amp; Cloud Logging</w:t>
            </w:r>
          </w:p>
        </w:tc>
      </w:tr>
    </w:tbl>
    <w:p w:rsidR="00CB2660" w:rsidRDefault="000C46DA">
      <w:pPr>
        <w:pStyle w:val="Heading2"/>
        <w:spacing w:before="260" w:after="130"/>
      </w:pPr>
      <w:r>
        <w:rPr>
          <w:rFonts w:ascii="Calibri" w:eastAsia="Calibri" w:hAnsi="Calibri" w:cs="Calibri"/>
          <w:b/>
          <w:bCs/>
          <w:sz w:val="25"/>
          <w:szCs w:val="25"/>
        </w:rPr>
        <w:lastRenderedPageBreak/>
        <w:t>Scaling Strategy</w:t>
      </w:r>
    </w:p>
    <w:p w:rsidR="00CB2660" w:rsidRDefault="000C46DA">
      <w:pPr>
        <w:spacing w:after="160" w:line="276" w:lineRule="auto"/>
      </w:pPr>
      <w:r>
        <w:rPr>
          <w:rFonts w:ascii="Calibri" w:eastAsia="Calibri" w:hAnsi="Calibri" w:cs="Calibri"/>
          <w:sz w:val="22"/>
          <w:szCs w:val="22"/>
        </w:rPr>
        <w:t>Each service scales independently based on its own workload instead of scaling the entire platform. This minimizes infrastructure cost while preventing bottlenecks caused by unrelated workloads.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Service</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Scaling Trigger</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API Gateway</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HTTP request rate</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 Collector</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Incoming ingestion requests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Event Processor</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Pub/Sub subscription backlog</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Metrics Aggregator</w:t>
            </w:r>
          </w:p>
        </w:tc>
        <w:tc>
          <w:tcPr>
            <w:tcW w:w="6720" w:type="dxa"/>
            <w:shd w:val="clear" w:color="auto" w:fill="F2F7FC"/>
            <w:tcMar>
              <w:top w:w="90" w:type="dxa"/>
              <w:left w:w="120" w:type="dxa"/>
              <w:bottom w:w="90" w:type="dxa"/>
              <w:right w:w="120" w:type="dxa"/>
            </w:tcMar>
          </w:tcPr>
          <w:p w:rsidR="00CB2660" w:rsidRDefault="00C91596">
            <w:pPr>
              <w:spacing w:line="260" w:lineRule="auto"/>
            </w:pPr>
            <w:r>
              <w:rPr>
                <w:rFonts w:ascii="Calibri" w:eastAsia="Calibri" w:hAnsi="Calibri" w:cs="Calibri"/>
              </w:rPr>
              <w:t>Pub/Sub subscription backlog</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Insights API</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Dashboard/API requests</w:t>
            </w:r>
          </w:p>
        </w:tc>
      </w:tr>
    </w:tbl>
    <w:p w:rsidR="00CB2660" w:rsidRDefault="00CB2660">
      <w:pPr>
        <w:spacing w:after="140"/>
      </w:pPr>
    </w:p>
    <w:p w:rsidR="00CB2660" w:rsidRDefault="000C46DA">
      <w:pPr>
        <w:pStyle w:val="Heading3"/>
        <w:spacing w:before="180" w:after="90"/>
      </w:pPr>
      <w:r>
        <w:rPr>
          <w:rFonts w:ascii="Calibri" w:eastAsia="Calibri" w:hAnsi="Calibri" w:cs="Calibri"/>
          <w:b/>
          <w:bCs/>
          <w:color w:val="1F3864"/>
          <w:sz w:val="22"/>
          <w:szCs w:val="22"/>
        </w:rPr>
        <w:t>Event Stream Partitioning</w:t>
      </w:r>
    </w:p>
    <w:p w:rsidR="00CB2660" w:rsidRDefault="000C46DA">
      <w:pPr>
        <w:spacing w:after="160" w:line="276" w:lineRule="auto"/>
      </w:pPr>
      <w:r>
        <w:rPr>
          <w:rFonts w:ascii="Calibri" w:eastAsia="Calibri" w:hAnsi="Calibri" w:cs="Calibri"/>
          <w:sz w:val="22"/>
          <w:szCs w:val="22"/>
        </w:rPr>
        <w:t>Google Pub/Sub subscriptions for the Processing and Aggregation consumers are configured with message ordering enabled, using CampaignId as the ordering key. This guarantees all events for a given campaign are delivered sequentially to the same consumer instance, preserving order for accurate aggregation. At the ingest side, the Event Collector publishes using TenantId as the ordering key, distributing load evenly across partitions while keeping each tenant's events on a consistent partition.</w:t>
      </w:r>
    </w:p>
    <w:p w:rsidR="00CB2660" w:rsidRDefault="000C46DA">
      <w:pPr>
        <w:pStyle w:val="Heading2"/>
        <w:spacing w:before="260" w:after="130"/>
      </w:pPr>
      <w:r>
        <w:rPr>
          <w:rFonts w:ascii="Calibri" w:eastAsia="Calibri" w:hAnsi="Calibri" w:cs="Calibri"/>
          <w:b/>
          <w:bCs/>
          <w:sz w:val="25"/>
          <w:szCs w:val="25"/>
        </w:rPr>
        <w:t>Deployment Diagram</w:t>
      </w:r>
    </w:p>
    <w:p w:rsidR="00CB2660" w:rsidRDefault="00A758A5">
      <w:pPr>
        <w:spacing w:before="120" w:after="240"/>
        <w:jc w:val="center"/>
      </w:pPr>
      <w:r>
        <w:rPr>
          <w:noProof/>
        </w:rPr>
        <w:drawing>
          <wp:inline distT="0" distB="0" distL="0" distR="0" wp14:anchorId="14959385" wp14:editId="7779638A">
            <wp:extent cx="6172200" cy="41408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72200" cy="4140835"/>
                    </a:xfrm>
                    <a:prstGeom prst="rect">
                      <a:avLst/>
                    </a:prstGeom>
                  </pic:spPr>
                </pic:pic>
              </a:graphicData>
            </a:graphic>
          </wp:inline>
        </w:drawing>
      </w:r>
    </w:p>
    <w:p w:rsidR="00CB2660" w:rsidRPr="00067A2C" w:rsidRDefault="000C46DA" w:rsidP="00067A2C">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lastRenderedPageBreak/>
        <w:t>9. Security Architecture</w:t>
      </w:r>
    </w:p>
    <w:p w:rsidR="00CB2660" w:rsidRDefault="000C46DA">
      <w:pPr>
        <w:spacing w:after="160" w:line="276" w:lineRule="auto"/>
      </w:pPr>
      <w:r>
        <w:rPr>
          <w:rFonts w:ascii="Calibri" w:eastAsia="Calibri" w:hAnsi="Calibri" w:cs="Calibri"/>
          <w:sz w:val="22"/>
          <w:szCs w:val="22"/>
        </w:rPr>
        <w:t>Security is implemented across every layer of the platform to protect customer data, tenant information, and platform resources. The solution follows a defense-in-depth approach using industry-standard authentication, authorization, encryption, and secret management.</w:t>
      </w:r>
    </w:p>
    <w:p w:rsidR="00CB2660" w:rsidRDefault="000C46DA">
      <w:pPr>
        <w:pStyle w:val="Heading2"/>
        <w:spacing w:before="260" w:after="130"/>
      </w:pPr>
      <w:r>
        <w:rPr>
          <w:rFonts w:ascii="Calibri" w:eastAsia="Calibri" w:hAnsi="Calibri" w:cs="Calibri"/>
          <w:b/>
          <w:bCs/>
          <w:sz w:val="25"/>
          <w:szCs w:val="25"/>
        </w:rPr>
        <w:t>Security Controls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rsidRPr="00F77722">
        <w:trPr>
          <w:tblHeader/>
        </w:trPr>
        <w:tc>
          <w:tcPr>
            <w:tcW w:w="2600" w:type="dxa"/>
            <w:shd w:val="clear" w:color="auto" w:fill="1F3864"/>
            <w:tcMar>
              <w:top w:w="100" w:type="dxa"/>
              <w:left w:w="120" w:type="dxa"/>
              <w:bottom w:w="100" w:type="dxa"/>
              <w:right w:w="120" w:type="dxa"/>
            </w:tcMar>
          </w:tcPr>
          <w:p w:rsidR="00CB2660" w:rsidRPr="00F77722" w:rsidRDefault="000C46DA" w:rsidP="00F77722">
            <w:pPr>
              <w:spacing w:line="260" w:lineRule="auto"/>
              <w:rPr>
                <w:rFonts w:ascii="Calibri" w:eastAsia="Calibri" w:hAnsi="Calibri" w:cs="Calibri"/>
              </w:rPr>
            </w:pPr>
            <w:r w:rsidRPr="00F77722">
              <w:rPr>
                <w:rFonts w:ascii="Calibri" w:eastAsia="Calibri" w:hAnsi="Calibri" w:cs="Calibri"/>
              </w:rPr>
              <w:t>Area</w:t>
            </w:r>
          </w:p>
        </w:tc>
        <w:tc>
          <w:tcPr>
            <w:tcW w:w="6720" w:type="dxa"/>
            <w:shd w:val="clear" w:color="auto" w:fill="1F3864"/>
            <w:tcMar>
              <w:top w:w="100" w:type="dxa"/>
              <w:left w:w="120" w:type="dxa"/>
              <w:bottom w:w="100" w:type="dxa"/>
              <w:right w:w="120" w:type="dxa"/>
            </w:tcMar>
          </w:tcPr>
          <w:p w:rsidR="00CB2660" w:rsidRPr="00F77722" w:rsidRDefault="000C46DA" w:rsidP="00F77722">
            <w:pPr>
              <w:spacing w:line="260" w:lineRule="auto"/>
              <w:rPr>
                <w:rFonts w:ascii="Calibri" w:eastAsia="Calibri" w:hAnsi="Calibri" w:cs="Calibri"/>
              </w:rPr>
            </w:pPr>
            <w:r w:rsidRPr="00F77722">
              <w:rPr>
                <w:rFonts w:ascii="Calibri" w:eastAsia="Calibri" w:hAnsi="Calibri" w:cs="Calibri"/>
              </w:rPr>
              <w:t>Implementation</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Authentication</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OAuth 2.0 + JWT</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Authorization</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Role-Based Access Control (RBAC)</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Tenant Isolation</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Tenant ID validation for every request</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Rate Limiting</w:t>
            </w:r>
          </w:p>
        </w:tc>
        <w:tc>
          <w:tcPr>
            <w:tcW w:w="6720" w:type="dxa"/>
            <w:shd w:val="clear" w:color="auto" w:fill="F2F7FC"/>
            <w:tcMar>
              <w:top w:w="90" w:type="dxa"/>
              <w:left w:w="120" w:type="dxa"/>
              <w:bottom w:w="90" w:type="dxa"/>
              <w:right w:w="120" w:type="dxa"/>
            </w:tcMar>
          </w:tcPr>
          <w:p w:rsidR="00CB2660" w:rsidRDefault="00F77722">
            <w:pPr>
              <w:spacing w:line="260" w:lineRule="auto"/>
            </w:pPr>
            <w:r w:rsidRPr="00F77722">
              <w:rPr>
                <w:rFonts w:ascii="Calibri" w:eastAsia="Calibri" w:hAnsi="Calibri" w:cs="Calibri"/>
              </w:rPr>
              <w:t>Per-tenant Token Bucket rate limiter in Redis. Default capacity of 10,000 events per minute per tenant, with refill rate and bucket size configurable on a per-tenant basis.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Encryption in Transit</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HTTPS (TLS 1.3)</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Encryption at Rest</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Cloud-managed encryption</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Secrets</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Google Secret Manager</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Audit Logging</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Centralized audit logs</w:t>
            </w:r>
          </w:p>
        </w:tc>
      </w:tr>
    </w:tbl>
    <w:p w:rsidR="00CB2660" w:rsidRDefault="000C46DA">
      <w:pPr>
        <w:pStyle w:val="Heading2"/>
        <w:spacing w:before="260" w:after="130"/>
      </w:pPr>
      <w:r>
        <w:rPr>
          <w:rFonts w:ascii="Calibri" w:eastAsia="Calibri" w:hAnsi="Calibri" w:cs="Calibri"/>
          <w:b/>
          <w:bCs/>
          <w:sz w:val="25"/>
          <w:szCs w:val="25"/>
        </w:rPr>
        <w:t>Tenant-Specific Configuration</w:t>
      </w:r>
    </w:p>
    <w:p w:rsidR="00CB2660" w:rsidRDefault="000C46DA" w:rsidP="0004659F">
      <w:pPr>
        <w:spacing w:after="160" w:line="276" w:lineRule="auto"/>
      </w:pPr>
      <w:r>
        <w:rPr>
          <w:rFonts w:ascii="Calibri" w:eastAsia="Calibri" w:hAnsi="Calibri" w:cs="Calibri"/>
          <w:sz w:val="22"/>
          <w:szCs w:val="22"/>
        </w:rPr>
        <w:t>Beyond data access controls and resource allocation, each tenant carries its own configuration profile rather than sharing one global setting. This is modeled as a per-tenant options record, resolved alongside tenant identity at request time, and covers settings such as the per-tenant rate limit threshold, retention overrides for tenants with specific compliance requirements. Because this configuration is resolved per-request from the tenant context rather than baked into a single global appsettings file, onboarding a new tenant or adjusting one tenant's limits does not require redeploying the platform or affecting any other tenant.</w:t>
      </w:r>
    </w:p>
    <w:p w:rsidR="00CB2660" w:rsidRPr="002345F6" w:rsidRDefault="000C46DA" w:rsidP="002345F6">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10. Data Architecture</w:t>
      </w:r>
    </w:p>
    <w:p w:rsidR="00CB2660" w:rsidRDefault="000C46DA">
      <w:pPr>
        <w:spacing w:after="160" w:line="276" w:lineRule="auto"/>
      </w:pPr>
      <w:r>
        <w:rPr>
          <w:rFonts w:ascii="Calibri" w:eastAsia="Calibri" w:hAnsi="Calibri" w:cs="Calibri"/>
          <w:sz w:val="22"/>
          <w:szCs w:val="22"/>
        </w:rPr>
        <w:t>The platform separates operational, caching, and analytical workloads to improve scalability, maintainability, and reporting performance.</w:t>
      </w:r>
    </w:p>
    <w:p w:rsidR="00CB2660" w:rsidRDefault="000C46DA">
      <w:pPr>
        <w:pStyle w:val="Heading2"/>
        <w:spacing w:before="260" w:after="130"/>
      </w:pPr>
      <w:r>
        <w:rPr>
          <w:rFonts w:ascii="Calibri" w:eastAsia="Calibri" w:hAnsi="Calibri" w:cs="Calibri"/>
          <w:b/>
          <w:bCs/>
          <w:sz w:val="25"/>
          <w:szCs w:val="25"/>
        </w:rPr>
        <w:t>Data Stores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Data Store</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Purpose</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SQL Server</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Operational system of record</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Redis</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Low-latency cache for dashboards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lastRenderedPageBreak/>
              <w:t>BigQuery</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Historical analytics and reporting</w:t>
            </w:r>
          </w:p>
        </w:tc>
      </w:tr>
    </w:tbl>
    <w:p w:rsidR="00CB2660" w:rsidRDefault="00CB2660">
      <w:pPr>
        <w:spacing w:before="120" w:after="240"/>
        <w:jc w:val="center"/>
      </w:pPr>
    </w:p>
    <w:p w:rsidR="00CB2660" w:rsidRDefault="000C46DA">
      <w:pPr>
        <w:pStyle w:val="Heading2"/>
        <w:spacing w:before="260" w:after="130"/>
      </w:pPr>
      <w:r>
        <w:rPr>
          <w:rFonts w:ascii="Calibri" w:eastAsia="Calibri" w:hAnsi="Calibri" w:cs="Calibri"/>
          <w:b/>
          <w:bCs/>
          <w:sz w:val="25"/>
          <w:szCs w:val="25"/>
        </w:rPr>
        <w:t>CQRS Approach</w:t>
      </w:r>
    </w:p>
    <w:p w:rsidR="00CB2660" w:rsidRDefault="000C46DA">
      <w:pPr>
        <w:spacing w:after="160" w:line="276" w:lineRule="auto"/>
      </w:pPr>
      <w:r>
        <w:rPr>
          <w:rFonts w:ascii="Calibri" w:eastAsia="Calibri" w:hAnsi="Calibri" w:cs="Calibri"/>
          <w:sz w:val="22"/>
          <w:szCs w:val="22"/>
        </w:rPr>
        <w:t>The platform follows a logical Command Query Responsibility Segregation (CQRS) pattern.</w:t>
      </w:r>
    </w:p>
    <w:p w:rsidR="00CB2660" w:rsidRDefault="000C46DA">
      <w:pPr>
        <w:spacing w:after="160" w:line="276" w:lineRule="auto"/>
      </w:pPr>
      <w:r>
        <w:rPr>
          <w:rFonts w:ascii="Calibri" w:eastAsia="Calibri" w:hAnsi="Calibri" w:cs="Calibri"/>
          <w:sz w:val="22"/>
          <w:szCs w:val="22"/>
        </w:rPr>
        <w:t>Customer events are processed through the command path, where operational data is persisted and domain events are published.</w:t>
      </w:r>
    </w:p>
    <w:p w:rsidR="00CB2660" w:rsidRDefault="000C46DA">
      <w:pPr>
        <w:spacing w:after="160" w:line="276" w:lineRule="auto"/>
      </w:pPr>
      <w:r>
        <w:rPr>
          <w:rFonts w:ascii="Calibri" w:eastAsia="Calibri" w:hAnsi="Calibri" w:cs="Calibri"/>
          <w:sz w:val="22"/>
          <w:szCs w:val="22"/>
        </w:rPr>
        <w:t>Analytical queries are served through dedicated read models backed by Redis and BigQuery, ensuring that reporting workloads never impact transactional processing.</w:t>
      </w:r>
    </w:p>
    <w:p w:rsidR="00CB2660" w:rsidRDefault="000C46DA">
      <w:pPr>
        <w:spacing w:after="160" w:line="276" w:lineRule="auto"/>
      </w:pPr>
      <w:r>
        <w:rPr>
          <w:rFonts w:ascii="Calibri" w:eastAsia="Calibri" w:hAnsi="Calibri" w:cs="Calibri"/>
          <w:sz w:val="22"/>
          <w:szCs w:val="22"/>
        </w:rPr>
        <w:t>This separation enables independent scaling of write-intensive ingestion and read-intensive analytical APIs while maintaining clear ownership of operational and analytical data.</w:t>
      </w:r>
    </w:p>
    <w:p w:rsidR="00CB2660" w:rsidRDefault="000C46DA">
      <w:pPr>
        <w:pStyle w:val="Heading3"/>
        <w:spacing w:before="180" w:after="90"/>
      </w:pPr>
      <w:r>
        <w:rPr>
          <w:rFonts w:ascii="Calibri" w:eastAsia="Calibri" w:hAnsi="Calibri" w:cs="Calibri"/>
          <w:b/>
          <w:bCs/>
          <w:color w:val="1F3864"/>
          <w:sz w:val="22"/>
          <w:szCs w:val="22"/>
        </w:rPr>
        <w:t>Session Read Model</w:t>
      </w:r>
    </w:p>
    <w:p w:rsidR="00CB2660" w:rsidRDefault="000C46DA">
      <w:pPr>
        <w:spacing w:after="160" w:line="276" w:lineRule="auto"/>
      </w:pPr>
      <w:r>
        <w:rPr>
          <w:rFonts w:ascii="Calibri" w:eastAsia="Calibri" w:hAnsi="Calibri" w:cs="Calibri"/>
          <w:sz w:val="22"/>
          <w:szCs w:val="22"/>
        </w:rPr>
        <w:t>The Aggregator maintains a CustomerSession read model alongside CampaignMetrics, accumulating event types per SessionId and finalizing the record once the inactivity window expires. Campaign-level conversion metrics are derived from finalized session records.</w:t>
      </w:r>
    </w:p>
    <w:p w:rsidR="00CB2660" w:rsidRDefault="000C46DA">
      <w:pPr>
        <w:pStyle w:val="Heading3"/>
        <w:spacing w:before="180" w:after="90"/>
      </w:pPr>
      <w:r>
        <w:rPr>
          <w:rFonts w:ascii="Calibri" w:eastAsia="Calibri" w:hAnsi="Calibri" w:cs="Calibri"/>
          <w:b/>
          <w:bCs/>
          <w:color w:val="1F3864"/>
          <w:sz w:val="22"/>
          <w:szCs w:val="22"/>
        </w:rPr>
        <w:t>Cache Recovery</w:t>
      </w:r>
    </w:p>
    <w:p w:rsidR="00CB2660" w:rsidRDefault="000C46DA">
      <w:pPr>
        <w:spacing w:after="160" w:line="276" w:lineRule="auto"/>
      </w:pPr>
      <w:r>
        <w:rPr>
          <w:rFonts w:ascii="Calibri" w:eastAsia="Calibri" w:hAnsi="Calibri" w:cs="Calibri"/>
          <w:sz w:val="22"/>
          <w:szCs w:val="22"/>
        </w:rPr>
        <w:t>Redis counters are the live source of truth for real-time metrics, not a disposable cache, so a Redis restart would otherwise lose all in-flight campaign counts. A recovery process runs at Aggregator startup: if the cache is found empty, counters are re-seeded from the last durable snapshot in the analytics store before any live event processing resumes. Live event subscription is deliberately withheld until recovery completes, preventing a race between seeded values and concurrently-arriving events.</w:t>
      </w:r>
    </w:p>
    <w:p w:rsidR="00CB2660" w:rsidRDefault="00CB2660">
      <w:pPr>
        <w:spacing w:after="160"/>
      </w:pPr>
    </w:p>
    <w:p w:rsidR="00CB2660" w:rsidRDefault="000C46DA">
      <w:pPr>
        <w:pStyle w:val="Heading2"/>
        <w:spacing w:before="260" w:after="130"/>
      </w:pPr>
      <w:r>
        <w:rPr>
          <w:rFonts w:ascii="Calibri" w:eastAsia="Calibri" w:hAnsi="Calibri" w:cs="Calibri"/>
          <w:b/>
          <w:bCs/>
          <w:sz w:val="25"/>
          <w:szCs w:val="25"/>
        </w:rPr>
        <w:t>Data Retention</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2190"/>
        <w:gridCol w:w="481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Store</w:t>
            </w:r>
          </w:p>
        </w:tc>
        <w:tc>
          <w:tcPr>
            <w:tcW w:w="21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Retention Period</w:t>
            </w:r>
          </w:p>
        </w:tc>
        <w:tc>
          <w:tcPr>
            <w:tcW w:w="46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Action on Expiry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SQL Server (raw events)</w:t>
            </w:r>
          </w:p>
        </w:tc>
        <w:tc>
          <w:tcPr>
            <w:tcW w:w="2100" w:type="dxa"/>
            <w:shd w:val="clear" w:color="auto" w:fill="FFFFFF"/>
            <w:tcMar>
              <w:top w:w="90" w:type="dxa"/>
              <w:left w:w="120" w:type="dxa"/>
              <w:bottom w:w="90" w:type="dxa"/>
              <w:right w:w="120" w:type="dxa"/>
            </w:tcMar>
          </w:tcPr>
          <w:p w:rsidR="00CB2660" w:rsidRDefault="00615E12">
            <w:pPr>
              <w:spacing w:line="260" w:lineRule="auto"/>
            </w:pPr>
            <w:r>
              <w:rPr>
                <w:rFonts w:ascii="Calibri" w:eastAsia="Calibri" w:hAnsi="Calibri" w:cs="Calibri"/>
              </w:rPr>
              <w:t>3</w:t>
            </w:r>
            <w:r w:rsidR="000C46DA">
              <w:rPr>
                <w:rFonts w:ascii="Calibri" w:eastAsia="Calibri" w:hAnsi="Calibri" w:cs="Calibri"/>
              </w:rPr>
              <w:t>0 days</w:t>
            </w:r>
          </w:p>
        </w:tc>
        <w:tc>
          <w:tcPr>
            <w:tcW w:w="46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Archive to cold storage or delete</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Redis (live counters)</w:t>
            </w:r>
          </w:p>
        </w:tc>
        <w:tc>
          <w:tcPr>
            <w:tcW w:w="21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No expiry</w:t>
            </w:r>
          </w:p>
        </w:tc>
        <w:tc>
          <w:tcPr>
            <w:tcW w:w="46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Persi</w:t>
            </w:r>
            <w:r w:rsidR="008B1790">
              <w:rPr>
                <w:rFonts w:ascii="Calibri" w:eastAsia="Calibri" w:hAnsi="Calibri" w:cs="Calibri"/>
              </w:rPr>
              <w:t>st for the life of the campaign,</w:t>
            </w:r>
            <w:r>
              <w:rPr>
                <w:rFonts w:ascii="Calibri" w:eastAsia="Calibri" w:hAnsi="Calibri" w:cs="Calibri"/>
              </w:rPr>
              <w:t xml:space="preserve"> reset only by an explicit recovery-seed at startup, never by time</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BigQuery (analytics)</w:t>
            </w:r>
          </w:p>
        </w:tc>
        <w:tc>
          <w:tcPr>
            <w:tcW w:w="21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3 years</w:t>
            </w:r>
          </w:p>
        </w:tc>
        <w:tc>
          <w:tcPr>
            <w:tcW w:w="46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Move to long-term BigQuery storage tier (lower cost)</w:t>
            </w:r>
          </w:p>
        </w:tc>
      </w:tr>
    </w:tbl>
    <w:p w:rsidR="00CB2660" w:rsidRDefault="00CB2660">
      <w:pPr>
        <w:spacing w:after="120"/>
      </w:pPr>
    </w:p>
    <w:p w:rsidR="00CB2660" w:rsidRDefault="000C46DA">
      <w:pPr>
        <w:spacing w:after="160" w:line="276" w:lineRule="auto"/>
      </w:pPr>
      <w:r>
        <w:rPr>
          <w:rFonts w:ascii="Calibri" w:eastAsia="Calibri" w:hAnsi="Calibri" w:cs="Calibri"/>
          <w:sz w:val="22"/>
          <w:szCs w:val="22"/>
        </w:rPr>
        <w:t>Customer interaction events contain a CustomerId, which may be considered personal data depending on jurisdiction. A soft-delete flag on CustomerEvent allows the system to mark events for erasure without immediate deletion. A scheduled job permanently removes flagged records after 30 days, satisfying most right-to-erasure timelines.</w:t>
      </w:r>
    </w:p>
    <w:p w:rsidR="00CB2660" w:rsidRPr="00FC3088" w:rsidRDefault="000C46DA" w:rsidP="00FC3088">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lastRenderedPageBreak/>
        <w:t>11. Observability &amp; Reliability</w:t>
      </w:r>
    </w:p>
    <w:p w:rsidR="00CB2660" w:rsidRDefault="000C46DA">
      <w:pPr>
        <w:spacing w:after="160" w:line="276" w:lineRule="auto"/>
      </w:pPr>
      <w:r>
        <w:rPr>
          <w:rFonts w:ascii="Calibri" w:eastAsia="Calibri" w:hAnsi="Calibri" w:cs="Calibri"/>
          <w:sz w:val="22"/>
          <w:szCs w:val="22"/>
        </w:rPr>
        <w:t>The platform is designed to provide operational visibility and resilience through centralized monitoring, distributed tracing, health checks, and automated recovery mechanisms.</w:t>
      </w:r>
    </w:p>
    <w:p w:rsidR="00CB2660" w:rsidRDefault="000C46DA">
      <w:pPr>
        <w:pStyle w:val="Heading2"/>
        <w:spacing w:before="260" w:after="130"/>
      </w:pPr>
      <w:r>
        <w:rPr>
          <w:rFonts w:ascii="Calibri" w:eastAsia="Calibri" w:hAnsi="Calibri" w:cs="Calibri"/>
          <w:b/>
          <w:bCs/>
          <w:sz w:val="25"/>
          <w:szCs w:val="25"/>
        </w:rPr>
        <w:t>Observability Components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Area</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Implementation</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Logging</w:t>
            </w:r>
          </w:p>
        </w:tc>
        <w:tc>
          <w:tcPr>
            <w:tcW w:w="6720" w:type="dxa"/>
            <w:shd w:val="clear" w:color="auto" w:fill="FFFFFF"/>
            <w:tcMar>
              <w:top w:w="90" w:type="dxa"/>
              <w:left w:w="120" w:type="dxa"/>
              <w:bottom w:w="90" w:type="dxa"/>
              <w:right w:w="120" w:type="dxa"/>
            </w:tcMar>
          </w:tcPr>
          <w:p w:rsidR="00CB2660" w:rsidRPr="00454AF4" w:rsidRDefault="00454AF4">
            <w:pPr>
              <w:spacing w:line="260" w:lineRule="auto"/>
              <w:rPr>
                <w:rFonts w:ascii="Calibri" w:eastAsia="Calibri" w:hAnsi="Calibri" w:cs="Calibri"/>
              </w:rPr>
            </w:pPr>
            <w:r w:rsidRPr="00454AF4">
              <w:rPr>
                <w:rFonts w:ascii="Calibri" w:eastAsia="Calibri" w:hAnsi="Calibri" w:cs="Calibri"/>
              </w:rPr>
              <w:t>New Relic Logs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Monitoring</w:t>
            </w:r>
          </w:p>
        </w:tc>
        <w:tc>
          <w:tcPr>
            <w:tcW w:w="6720" w:type="dxa"/>
            <w:shd w:val="clear" w:color="auto" w:fill="F2F7FC"/>
            <w:tcMar>
              <w:top w:w="90" w:type="dxa"/>
              <w:left w:w="120" w:type="dxa"/>
              <w:bottom w:w="90" w:type="dxa"/>
              <w:right w:w="120" w:type="dxa"/>
            </w:tcMar>
          </w:tcPr>
          <w:p w:rsidR="00CB2660" w:rsidRPr="00454AF4" w:rsidRDefault="00454AF4">
            <w:pPr>
              <w:spacing w:line="260" w:lineRule="auto"/>
              <w:rPr>
                <w:rFonts w:ascii="Calibri" w:eastAsia="Calibri" w:hAnsi="Calibri" w:cs="Calibri"/>
              </w:rPr>
            </w:pPr>
            <w:r w:rsidRPr="00454AF4">
              <w:rPr>
                <w:rFonts w:ascii="Calibri" w:eastAsia="Calibri" w:hAnsi="Calibri" w:cs="Calibri"/>
              </w:rPr>
              <w:t>New Relic Infrastructure &amp; APM</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Distributed Tracing</w:t>
            </w:r>
          </w:p>
        </w:tc>
        <w:tc>
          <w:tcPr>
            <w:tcW w:w="6720" w:type="dxa"/>
            <w:shd w:val="clear" w:color="auto" w:fill="FFFFFF"/>
            <w:tcMar>
              <w:top w:w="90" w:type="dxa"/>
              <w:left w:w="120" w:type="dxa"/>
              <w:bottom w:w="90" w:type="dxa"/>
              <w:right w:w="120" w:type="dxa"/>
            </w:tcMar>
          </w:tcPr>
          <w:p w:rsidR="00CB2660" w:rsidRPr="00454AF4" w:rsidRDefault="00454AF4">
            <w:pPr>
              <w:spacing w:line="260" w:lineRule="auto"/>
              <w:rPr>
                <w:rFonts w:ascii="Calibri" w:eastAsia="Calibri" w:hAnsi="Calibri" w:cs="Calibri"/>
              </w:rPr>
            </w:pPr>
            <w:r w:rsidRPr="00454AF4">
              <w:rPr>
                <w:rFonts w:ascii="Calibri" w:eastAsia="Calibri" w:hAnsi="Calibri" w:cs="Calibri"/>
              </w:rPr>
              <w:t>Open Telemetry</w:t>
            </w:r>
            <w:r w:rsidRPr="00454AF4">
              <w:rPr>
                <w:rFonts w:ascii="Calibri" w:eastAsia="Calibri" w:hAnsi="Calibri" w:cs="Calibri"/>
              </w:rPr>
              <w:t xml:space="preserve"> integrated with New Relic</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Health Checks</w:t>
            </w:r>
          </w:p>
        </w:tc>
        <w:tc>
          <w:tcPr>
            <w:tcW w:w="6720" w:type="dxa"/>
            <w:shd w:val="clear" w:color="auto" w:fill="F2F7FC"/>
            <w:tcMar>
              <w:top w:w="90" w:type="dxa"/>
              <w:left w:w="120" w:type="dxa"/>
              <w:bottom w:w="90" w:type="dxa"/>
              <w:right w:w="120" w:type="dxa"/>
            </w:tcMar>
          </w:tcPr>
          <w:p w:rsidR="00CB2660" w:rsidRPr="00454AF4" w:rsidRDefault="000C46DA">
            <w:pPr>
              <w:spacing w:line="260" w:lineRule="auto"/>
              <w:rPr>
                <w:rFonts w:ascii="Calibri" w:eastAsia="Calibri" w:hAnsi="Calibri" w:cs="Calibri"/>
              </w:rPr>
            </w:pPr>
            <w:r>
              <w:rPr>
                <w:rFonts w:ascii="Calibri" w:eastAsia="Calibri" w:hAnsi="Calibri" w:cs="Calibri"/>
              </w:rPr>
              <w:t>Liveness &amp; Readiness Probes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Alerting</w:t>
            </w:r>
          </w:p>
        </w:tc>
        <w:tc>
          <w:tcPr>
            <w:tcW w:w="6720" w:type="dxa"/>
            <w:shd w:val="clear" w:color="auto" w:fill="FFFFFF"/>
            <w:tcMar>
              <w:top w:w="90" w:type="dxa"/>
              <w:left w:w="120" w:type="dxa"/>
              <w:bottom w:w="90" w:type="dxa"/>
              <w:right w:w="120" w:type="dxa"/>
            </w:tcMar>
          </w:tcPr>
          <w:p w:rsidR="00CB2660" w:rsidRPr="00454AF4" w:rsidRDefault="00454AF4" w:rsidP="002D7E81">
            <w:pPr>
              <w:spacing w:line="260" w:lineRule="auto"/>
              <w:rPr>
                <w:rFonts w:ascii="Calibri" w:eastAsia="Calibri" w:hAnsi="Calibri" w:cs="Calibri"/>
              </w:rPr>
            </w:pPr>
            <w:r w:rsidRPr="00454AF4">
              <w:rPr>
                <w:rFonts w:ascii="Calibri" w:eastAsia="Calibri" w:hAnsi="Calibri" w:cs="Calibri"/>
              </w:rPr>
              <w:t>New Relic Alerts &amp; Policies</w:t>
            </w:r>
          </w:p>
        </w:tc>
      </w:tr>
    </w:tbl>
    <w:p w:rsidR="00CB2660" w:rsidRDefault="000C46DA">
      <w:pPr>
        <w:pStyle w:val="Heading2"/>
        <w:spacing w:before="260" w:after="130"/>
      </w:pPr>
      <w:r>
        <w:rPr>
          <w:rFonts w:ascii="Calibri" w:eastAsia="Calibri" w:hAnsi="Calibri" w:cs="Calibri"/>
          <w:b/>
          <w:bCs/>
          <w:sz w:val="25"/>
          <w:szCs w:val="25"/>
        </w:rPr>
        <w:t>Reliability Features</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712"/>
        <w:gridCol w:w="7008"/>
      </w:tblGrid>
      <w:tr w:rsidR="00CB2660">
        <w:trPr>
          <w:tblHeader/>
        </w:trPr>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Feature</w:t>
            </w:r>
          </w:p>
        </w:tc>
        <w:tc>
          <w:tcPr>
            <w:tcW w:w="67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Purpose</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Retry Policy</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Handle transient failures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Dead Letter Queue</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Capture failed events</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Auto Scaling</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Handle traffic spikes</w:t>
            </w:r>
          </w:p>
        </w:tc>
      </w:tr>
      <w:tr w:rsidR="00CB2660">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Health Checks</w:t>
            </w:r>
          </w:p>
        </w:tc>
        <w:tc>
          <w:tcPr>
            <w:tcW w:w="67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Automatic service recovery</w:t>
            </w:r>
          </w:p>
        </w:tc>
      </w:tr>
      <w:tr w:rsidR="00CB2660">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Correlation ID</w:t>
            </w:r>
          </w:p>
        </w:tc>
        <w:tc>
          <w:tcPr>
            <w:tcW w:w="67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End-to-end request tracing</w:t>
            </w:r>
          </w:p>
        </w:tc>
      </w:tr>
    </w:tbl>
    <w:p w:rsidR="00CB2660" w:rsidRDefault="000C46DA">
      <w:pPr>
        <w:pStyle w:val="Heading2"/>
        <w:spacing w:before="260" w:after="130"/>
      </w:pPr>
      <w:r>
        <w:rPr>
          <w:rFonts w:ascii="Calibri" w:eastAsia="Calibri" w:hAnsi="Calibri" w:cs="Calibri"/>
          <w:b/>
          <w:bCs/>
          <w:sz w:val="25"/>
          <w:szCs w:val="25"/>
        </w:rPr>
        <w:t>Failure Handling</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3337"/>
        <w:gridCol w:w="6383"/>
      </w:tblGrid>
      <w:tr w:rsidR="00CB2660">
        <w:trPr>
          <w:tblHeader/>
        </w:trPr>
        <w:tc>
          <w:tcPr>
            <w:tcW w:w="32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Failure Scenario</w:t>
            </w:r>
          </w:p>
        </w:tc>
        <w:tc>
          <w:tcPr>
            <w:tcW w:w="61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Platform Behavior</w:t>
            </w:r>
          </w:p>
        </w:tc>
      </w:tr>
      <w:tr w:rsidR="00CB2660">
        <w:tc>
          <w:tcPr>
            <w:tcW w:w="32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Event processing failure</w:t>
            </w:r>
          </w:p>
        </w:tc>
        <w:tc>
          <w:tcPr>
            <w:tcW w:w="61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Automatic retry</w:t>
            </w:r>
          </w:p>
        </w:tc>
      </w:tr>
      <w:tr w:rsidR="00CB2660">
        <w:tc>
          <w:tcPr>
            <w:tcW w:w="32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Retry limit exceeded</w:t>
            </w:r>
          </w:p>
        </w:tc>
        <w:tc>
          <w:tcPr>
            <w:tcW w:w="61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 moved to Dead Letter Queue</w:t>
            </w:r>
          </w:p>
        </w:tc>
      </w:tr>
      <w:tr w:rsidR="00CB2660">
        <w:tc>
          <w:tcPr>
            <w:tcW w:w="3200" w:type="dxa"/>
            <w:shd w:val="clear" w:color="auto" w:fill="FFFFFF"/>
            <w:tcMar>
              <w:top w:w="90" w:type="dxa"/>
              <w:left w:w="120" w:type="dxa"/>
              <w:bottom w:w="90" w:type="dxa"/>
              <w:right w:w="120" w:type="dxa"/>
            </w:tcMar>
          </w:tcPr>
          <w:p w:rsidR="00CB2660" w:rsidRPr="001D665E" w:rsidRDefault="000C46DA">
            <w:pPr>
              <w:spacing w:line="260" w:lineRule="auto"/>
              <w:rPr>
                <w:rFonts w:ascii="Calibri" w:eastAsia="Calibri" w:hAnsi="Calibri" w:cs="Calibri"/>
              </w:rPr>
            </w:pPr>
            <w:r>
              <w:rPr>
                <w:rFonts w:ascii="Calibri" w:eastAsia="Calibri" w:hAnsi="Calibri" w:cs="Calibri"/>
              </w:rPr>
              <w:t>Redis restarted or flushed</w:t>
            </w:r>
          </w:p>
        </w:tc>
        <w:tc>
          <w:tcPr>
            <w:tcW w:w="6120" w:type="dxa"/>
            <w:shd w:val="clear" w:color="auto" w:fill="FFFFFF"/>
            <w:tcMar>
              <w:top w:w="90" w:type="dxa"/>
              <w:left w:w="120" w:type="dxa"/>
              <w:bottom w:w="90" w:type="dxa"/>
              <w:right w:w="120" w:type="dxa"/>
            </w:tcMar>
          </w:tcPr>
          <w:p w:rsidR="00CB2660" w:rsidRPr="001D665E" w:rsidRDefault="001D665E">
            <w:pPr>
              <w:spacing w:line="260" w:lineRule="auto"/>
              <w:rPr>
                <w:rFonts w:ascii="Calibri" w:eastAsia="Calibri" w:hAnsi="Calibri" w:cs="Calibri"/>
              </w:rPr>
            </w:pPr>
            <w:r w:rsidRPr="001D665E">
              <w:rPr>
                <w:rFonts w:ascii="Calibri" w:eastAsia="Calibri" w:hAnsi="Calibri" w:cs="Calibri"/>
              </w:rPr>
              <w:t>Recovery service rebuilds Redis from BigQuery before resuming live processing</w:t>
            </w:r>
          </w:p>
        </w:tc>
      </w:tr>
      <w:tr w:rsidR="00CB2660">
        <w:tc>
          <w:tcPr>
            <w:tcW w:w="32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 Processor unavailable</w:t>
            </w:r>
          </w:p>
        </w:tc>
        <w:tc>
          <w:tcPr>
            <w:tcW w:w="61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Events remain in Pub/Sub until consumers recover</w:t>
            </w:r>
          </w:p>
        </w:tc>
      </w:tr>
      <w:tr w:rsidR="00CB2660">
        <w:tc>
          <w:tcPr>
            <w:tcW w:w="32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Metrics Aggregator unavailable</w:t>
            </w:r>
          </w:p>
        </w:tc>
        <w:tc>
          <w:tcPr>
            <w:tcW w:w="6120" w:type="dxa"/>
            <w:shd w:val="clear" w:color="auto" w:fill="FFFFFF"/>
            <w:tcMar>
              <w:top w:w="90" w:type="dxa"/>
              <w:left w:w="120" w:type="dxa"/>
              <w:bottom w:w="90" w:type="dxa"/>
              <w:right w:w="120" w:type="dxa"/>
            </w:tcMar>
          </w:tcPr>
          <w:p w:rsidR="00CB2660" w:rsidRDefault="003C42BF">
            <w:pPr>
              <w:spacing w:line="260" w:lineRule="auto"/>
            </w:pPr>
            <w:r>
              <w:rPr>
                <w:rFonts w:ascii="Calibri" w:eastAsia="Calibri" w:hAnsi="Calibri" w:cs="Calibri"/>
              </w:rPr>
              <w:t>Event processing continues,</w:t>
            </w:r>
            <w:r w:rsidR="000C46DA">
              <w:rPr>
                <w:rFonts w:ascii="Calibri" w:eastAsia="Calibri" w:hAnsi="Calibri" w:cs="Calibri"/>
              </w:rPr>
              <w:t xml:space="preserve"> aggregation resumes after recovery</w:t>
            </w:r>
          </w:p>
        </w:tc>
      </w:tr>
    </w:tbl>
    <w:p w:rsidR="00CB2660" w:rsidRDefault="00CB2660" w:rsidP="00AC5DBD">
      <w:pPr>
        <w:spacing w:before="120" w:after="240"/>
      </w:pPr>
    </w:p>
    <w:p w:rsidR="00AC5DBD" w:rsidRDefault="00AC5DBD" w:rsidP="00AC5DBD">
      <w:pPr>
        <w:spacing w:before="120" w:after="240"/>
      </w:pPr>
    </w:p>
    <w:p w:rsidR="00AC5DBD" w:rsidRDefault="00AC5DBD" w:rsidP="00AC5DBD">
      <w:pPr>
        <w:spacing w:before="120" w:after="240"/>
      </w:pPr>
    </w:p>
    <w:p w:rsidR="00CB2660" w:rsidRDefault="000C46DA">
      <w:pPr>
        <w:pStyle w:val="Heading2"/>
        <w:spacing w:before="260" w:after="130"/>
      </w:pPr>
      <w:r>
        <w:rPr>
          <w:rFonts w:ascii="Calibri" w:eastAsia="Calibri" w:hAnsi="Calibri" w:cs="Calibri"/>
          <w:b/>
          <w:bCs/>
          <w:sz w:val="25"/>
          <w:szCs w:val="25"/>
        </w:rPr>
        <w:lastRenderedPageBreak/>
        <w:t>Key Metrics</w:t>
      </w:r>
    </w:p>
    <w:p w:rsidR="00CB2660" w:rsidRDefault="000C46DA">
      <w:pPr>
        <w:spacing w:after="160" w:line="276" w:lineRule="auto"/>
      </w:pPr>
      <w:r>
        <w:rPr>
          <w:rFonts w:ascii="Calibri" w:eastAsia="Calibri" w:hAnsi="Calibri" w:cs="Calibri"/>
          <w:sz w:val="22"/>
          <w:szCs w:val="22"/>
        </w:rPr>
        <w:t>The following metrics form the operational alerting baseline for the platform.</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3000"/>
        <w:gridCol w:w="2600"/>
        <w:gridCol w:w="4120"/>
      </w:tblGrid>
      <w:tr w:rsidR="00CB2660">
        <w:trPr>
          <w:tblHeader/>
        </w:trPr>
        <w:tc>
          <w:tcPr>
            <w:tcW w:w="30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Metric</w:t>
            </w:r>
          </w:p>
        </w:tc>
        <w:tc>
          <w:tcPr>
            <w:tcW w:w="26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Alert Threshold</w:t>
            </w:r>
          </w:p>
        </w:tc>
        <w:tc>
          <w:tcPr>
            <w:tcW w:w="412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Why</w:t>
            </w:r>
          </w:p>
        </w:tc>
      </w:tr>
      <w:tr w:rsidR="00CB2660">
        <w:tc>
          <w:tcPr>
            <w:tcW w:w="30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Event ingestion rate</w:t>
            </w:r>
          </w:p>
        </w:tc>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Drop &gt; 20% from baseline</w:t>
            </w:r>
          </w:p>
        </w:tc>
        <w:tc>
          <w:tcPr>
            <w:tcW w:w="41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Retailer SDK or upstream outage</w:t>
            </w:r>
          </w:p>
        </w:tc>
      </w:tr>
      <w:tr w:rsidR="00CB2660">
        <w:tc>
          <w:tcPr>
            <w:tcW w:w="30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Processing latency P99</w:t>
            </w:r>
          </w:p>
        </w:tc>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&gt; 2 seconds</w:t>
            </w:r>
          </w:p>
        </w:tc>
        <w:tc>
          <w:tcPr>
            <w:tcW w:w="41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Near-real-time SLA breach</w:t>
            </w:r>
          </w:p>
        </w:tc>
      </w:tr>
      <w:tr w:rsidR="00CB2660">
        <w:tc>
          <w:tcPr>
            <w:tcW w:w="30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Pub/Sub subscription backlog</w:t>
            </w:r>
          </w:p>
        </w:tc>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&gt; 10,000 messages</w:t>
            </w:r>
          </w:p>
        </w:tc>
        <w:tc>
          <w:tcPr>
            <w:tcW w:w="41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Consumer falling behind</w:t>
            </w:r>
          </w:p>
        </w:tc>
      </w:tr>
      <w:tr w:rsidR="00CB2660">
        <w:tc>
          <w:tcPr>
            <w:tcW w:w="30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Redis cache hit ratio</w:t>
            </w:r>
          </w:p>
        </w:tc>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&lt; 70%</w:t>
            </w:r>
          </w:p>
        </w:tc>
        <w:tc>
          <w:tcPr>
            <w:tcW w:w="41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Insights API over-hitting BigQuery</w:t>
            </w:r>
          </w:p>
        </w:tc>
      </w:tr>
      <w:tr w:rsidR="00CB2660">
        <w:tc>
          <w:tcPr>
            <w:tcW w:w="30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Dead letter queue depth</w:t>
            </w:r>
          </w:p>
        </w:tc>
        <w:tc>
          <w:tcPr>
            <w:tcW w:w="26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&gt; 0</w:t>
            </w:r>
          </w:p>
        </w:tc>
        <w:tc>
          <w:tcPr>
            <w:tcW w:w="412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Events being permanently lost</w:t>
            </w:r>
          </w:p>
        </w:tc>
      </w:tr>
      <w:tr w:rsidR="00CB2660">
        <w:tc>
          <w:tcPr>
            <w:tcW w:w="30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5xx error rate per service</w:t>
            </w:r>
          </w:p>
        </w:tc>
        <w:tc>
          <w:tcPr>
            <w:tcW w:w="26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&gt; 1%</w:t>
            </w:r>
          </w:p>
        </w:tc>
        <w:tc>
          <w:tcPr>
            <w:tcW w:w="412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Service degradation</w:t>
            </w:r>
          </w:p>
        </w:tc>
      </w:tr>
    </w:tbl>
    <w:p w:rsidR="00CB2660" w:rsidRDefault="000C46DA">
      <w:pPr>
        <w:pStyle w:val="Heading2"/>
        <w:spacing w:before="260" w:after="130"/>
      </w:pPr>
      <w:r>
        <w:rPr>
          <w:rFonts w:ascii="Calibri" w:eastAsia="Calibri" w:hAnsi="Calibri" w:cs="Calibri"/>
          <w:b/>
          <w:bCs/>
          <w:sz w:val="25"/>
          <w:szCs w:val="25"/>
        </w:rPr>
        <w:t>Cost Monitoring</w:t>
      </w:r>
    </w:p>
    <w:p w:rsidR="001D665E" w:rsidRPr="001D665E" w:rsidRDefault="001D665E" w:rsidP="001D665E">
      <w:pPr>
        <w:spacing w:after="160" w:line="276" w:lineRule="auto"/>
        <w:rPr>
          <w:rFonts w:ascii="Calibri" w:eastAsia="Calibri" w:hAnsi="Calibri" w:cs="Calibri"/>
          <w:sz w:val="22"/>
          <w:szCs w:val="22"/>
        </w:rPr>
      </w:pPr>
      <w:r w:rsidRPr="001D665E">
        <w:rPr>
          <w:rFonts w:ascii="Calibri" w:eastAsia="Calibri" w:hAnsi="Calibri" w:cs="Calibri"/>
          <w:sz w:val="22"/>
          <w:szCs w:val="22"/>
        </w:rPr>
        <w:t xml:space="preserve">Cost monitoring is centralized through </w:t>
      </w:r>
      <w:r w:rsidRPr="001D665E">
        <w:rPr>
          <w:rFonts w:ascii="Calibri" w:eastAsia="Calibri" w:hAnsi="Calibri" w:cs="Calibri"/>
          <w:b/>
          <w:bCs/>
          <w:sz w:val="22"/>
          <w:szCs w:val="22"/>
        </w:rPr>
        <w:t>New Relic dashboards</w:t>
      </w:r>
      <w:r w:rsidRPr="001D665E">
        <w:rPr>
          <w:rFonts w:ascii="Calibri" w:eastAsia="Calibri" w:hAnsi="Calibri" w:cs="Calibri"/>
          <w:sz w:val="22"/>
          <w:szCs w:val="22"/>
        </w:rPr>
        <w:t>, combining infrastructure metrics with Google Cloud billing data. Dashboards provide visibility into service utilization, Kubernetes resource consumption, BigQuery query costs, Redis memory usage, and tenant-level traffic patterns. Alerts can be configured for abnormal infrastructure growth, increasing analytics costs, and tenant-specific resource consumption thresholds.</w:t>
      </w:r>
    </w:p>
    <w:p w:rsidR="00CB2660" w:rsidRPr="00DA6451" w:rsidRDefault="000C46DA" w:rsidP="00DA6451">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12. Technology Decisions</w:t>
      </w:r>
    </w:p>
    <w:p w:rsidR="00CB2660" w:rsidRDefault="000C46DA">
      <w:pPr>
        <w:spacing w:after="160" w:line="276" w:lineRule="auto"/>
      </w:pPr>
      <w:r>
        <w:rPr>
          <w:rFonts w:ascii="Calibri" w:eastAsia="Calibri" w:hAnsi="Calibri" w:cs="Calibri"/>
          <w:sz w:val="22"/>
          <w:szCs w:val="22"/>
        </w:rPr>
        <w:t>The following technologies have been selected based on the functional and non-functional requirements of the proposed solution.</w:t>
      </w:r>
    </w:p>
    <w:p w:rsidR="00CB2660" w:rsidRDefault="000C46DA">
      <w:pPr>
        <w:pStyle w:val="Heading2"/>
        <w:spacing w:before="260" w:after="130"/>
      </w:pPr>
      <w:r>
        <w:rPr>
          <w:rFonts w:ascii="Calibri" w:eastAsia="Calibri" w:hAnsi="Calibri" w:cs="Calibri"/>
          <w:b/>
          <w:bCs/>
          <w:sz w:val="25"/>
          <w:szCs w:val="25"/>
        </w:rPr>
        <w:t>Technology Selection</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503"/>
        <w:gridCol w:w="3296"/>
        <w:gridCol w:w="3921"/>
      </w:tblGrid>
      <w:tr w:rsidR="00CB2660">
        <w:trPr>
          <w:tblHeader/>
        </w:trPr>
        <w:tc>
          <w:tcPr>
            <w:tcW w:w="240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Layer</w:t>
            </w:r>
          </w:p>
        </w:tc>
        <w:tc>
          <w:tcPr>
            <w:tcW w:w="316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Technology</w:t>
            </w:r>
          </w:p>
        </w:tc>
        <w:tc>
          <w:tcPr>
            <w:tcW w:w="3760"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Purpose</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Cloud Platform</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Google Cloud Platform</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Managed cloud infrastructure</w:t>
            </w:r>
          </w:p>
        </w:tc>
      </w:tr>
      <w:tr w:rsidR="00CB2660">
        <w:tc>
          <w:tcPr>
            <w:tcW w:w="24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Backend</w:t>
            </w:r>
          </w:p>
        </w:tc>
        <w:tc>
          <w:tcPr>
            <w:tcW w:w="31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.NET 9 / C#</w:t>
            </w:r>
          </w:p>
        </w:tc>
        <w:tc>
          <w:tcPr>
            <w:tcW w:w="37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Backend services</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API</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REST</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External communication</w:t>
            </w:r>
          </w:p>
        </w:tc>
      </w:tr>
      <w:tr w:rsidR="00CB2660">
        <w:tc>
          <w:tcPr>
            <w:tcW w:w="24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Container Platform</w:t>
            </w:r>
          </w:p>
        </w:tc>
        <w:tc>
          <w:tcPr>
            <w:tcW w:w="31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Google Kubernetes Engine</w:t>
            </w:r>
          </w:p>
        </w:tc>
        <w:tc>
          <w:tcPr>
            <w:tcW w:w="37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Container orchestration</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API Gateway</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API Gateway</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Secure API entry point</w:t>
            </w:r>
          </w:p>
        </w:tc>
      </w:tr>
      <w:tr w:rsidR="00CB2660">
        <w:tc>
          <w:tcPr>
            <w:tcW w:w="24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Messaging</w:t>
            </w:r>
          </w:p>
        </w:tc>
        <w:tc>
          <w:tcPr>
            <w:tcW w:w="31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Google Pub/Sub</w:t>
            </w:r>
          </w:p>
        </w:tc>
        <w:tc>
          <w:tcPr>
            <w:tcW w:w="37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Event-driven communication</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Operational Database</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SQL Server</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Transactional data</w:t>
            </w:r>
          </w:p>
        </w:tc>
      </w:tr>
      <w:tr w:rsidR="00CB2660">
        <w:tc>
          <w:tcPr>
            <w:tcW w:w="24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Cache</w:t>
            </w:r>
          </w:p>
        </w:tc>
        <w:tc>
          <w:tcPr>
            <w:tcW w:w="31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Redis</w:t>
            </w:r>
          </w:p>
        </w:tc>
        <w:tc>
          <w:tcPr>
            <w:tcW w:w="37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Low-latency reads</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Analytics</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BigQuery</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Historical reporting</w:t>
            </w:r>
          </w:p>
        </w:tc>
      </w:tr>
      <w:tr w:rsidR="00CB2660">
        <w:tc>
          <w:tcPr>
            <w:tcW w:w="240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lastRenderedPageBreak/>
              <w:t>Authentication</w:t>
            </w:r>
          </w:p>
        </w:tc>
        <w:tc>
          <w:tcPr>
            <w:tcW w:w="31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OAuth 2.0 + JWT</w:t>
            </w:r>
          </w:p>
        </w:tc>
        <w:tc>
          <w:tcPr>
            <w:tcW w:w="3760"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Identity and access management</w:t>
            </w:r>
          </w:p>
        </w:tc>
      </w:tr>
      <w:tr w:rsidR="00CB2660">
        <w:tc>
          <w:tcPr>
            <w:tcW w:w="240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Secrets</w:t>
            </w:r>
          </w:p>
        </w:tc>
        <w:tc>
          <w:tcPr>
            <w:tcW w:w="31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Secret Manager</w:t>
            </w:r>
          </w:p>
        </w:tc>
        <w:tc>
          <w:tcPr>
            <w:tcW w:w="3760"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Secure secret storage</w:t>
            </w:r>
          </w:p>
        </w:tc>
      </w:tr>
      <w:tr w:rsidR="00CB2660">
        <w:tc>
          <w:tcPr>
            <w:tcW w:w="2400" w:type="dxa"/>
            <w:shd w:val="clear" w:color="auto" w:fill="F2F7FC"/>
            <w:tcMar>
              <w:top w:w="90" w:type="dxa"/>
              <w:left w:w="120" w:type="dxa"/>
              <w:bottom w:w="90" w:type="dxa"/>
              <w:right w:w="120" w:type="dxa"/>
            </w:tcMar>
          </w:tcPr>
          <w:p w:rsidR="00CB2660" w:rsidRPr="00764464" w:rsidRDefault="000C46DA">
            <w:pPr>
              <w:spacing w:line="260" w:lineRule="auto"/>
              <w:rPr>
                <w:rFonts w:ascii="Calibri" w:eastAsia="Calibri" w:hAnsi="Calibri" w:cs="Calibri"/>
              </w:rPr>
            </w:pPr>
            <w:r>
              <w:rPr>
                <w:rFonts w:ascii="Calibri" w:eastAsia="Calibri" w:hAnsi="Calibri" w:cs="Calibri"/>
              </w:rPr>
              <w:t>Monitoring</w:t>
            </w:r>
          </w:p>
        </w:tc>
        <w:tc>
          <w:tcPr>
            <w:tcW w:w="3160" w:type="dxa"/>
            <w:shd w:val="clear" w:color="auto" w:fill="F2F7FC"/>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New Relic APM &amp; Infrastructure</w:t>
            </w:r>
          </w:p>
        </w:tc>
        <w:tc>
          <w:tcPr>
            <w:tcW w:w="3760" w:type="dxa"/>
            <w:shd w:val="clear" w:color="auto" w:fill="F2F7FC"/>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Application, infrastructure, and performance monitoring with alerting</w:t>
            </w:r>
          </w:p>
        </w:tc>
      </w:tr>
      <w:tr w:rsidR="00CB2660">
        <w:tc>
          <w:tcPr>
            <w:tcW w:w="2400" w:type="dxa"/>
            <w:shd w:val="clear" w:color="auto" w:fill="FFFFFF"/>
            <w:tcMar>
              <w:top w:w="90" w:type="dxa"/>
              <w:left w:w="120" w:type="dxa"/>
              <w:bottom w:w="90" w:type="dxa"/>
              <w:right w:w="120" w:type="dxa"/>
            </w:tcMar>
          </w:tcPr>
          <w:p w:rsidR="00CB2660" w:rsidRPr="00764464" w:rsidRDefault="000C46DA">
            <w:pPr>
              <w:spacing w:line="260" w:lineRule="auto"/>
              <w:rPr>
                <w:rFonts w:ascii="Calibri" w:eastAsia="Calibri" w:hAnsi="Calibri" w:cs="Calibri"/>
              </w:rPr>
            </w:pPr>
            <w:r>
              <w:rPr>
                <w:rFonts w:ascii="Calibri" w:eastAsia="Calibri" w:hAnsi="Calibri" w:cs="Calibri"/>
              </w:rPr>
              <w:t>Logging</w:t>
            </w:r>
          </w:p>
        </w:tc>
        <w:tc>
          <w:tcPr>
            <w:tcW w:w="3160" w:type="dxa"/>
            <w:shd w:val="clear" w:color="auto" w:fill="FFFFFF"/>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New Relic Logs</w:t>
            </w:r>
          </w:p>
        </w:tc>
        <w:tc>
          <w:tcPr>
            <w:tcW w:w="3760" w:type="dxa"/>
            <w:shd w:val="clear" w:color="auto" w:fill="FFFFFF"/>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Centralized log aggregation, search, and analysis</w:t>
            </w:r>
          </w:p>
        </w:tc>
      </w:tr>
      <w:tr w:rsidR="00CB2660">
        <w:tc>
          <w:tcPr>
            <w:tcW w:w="2400" w:type="dxa"/>
            <w:shd w:val="clear" w:color="auto" w:fill="F2F7FC"/>
            <w:tcMar>
              <w:top w:w="90" w:type="dxa"/>
              <w:left w:w="120" w:type="dxa"/>
              <w:bottom w:w="90" w:type="dxa"/>
              <w:right w:w="120" w:type="dxa"/>
            </w:tcMar>
          </w:tcPr>
          <w:p w:rsidR="00CB2660" w:rsidRPr="00764464" w:rsidRDefault="000C46DA">
            <w:pPr>
              <w:spacing w:line="260" w:lineRule="auto"/>
              <w:rPr>
                <w:rFonts w:ascii="Calibri" w:eastAsia="Calibri" w:hAnsi="Calibri" w:cs="Calibri"/>
              </w:rPr>
            </w:pPr>
            <w:r>
              <w:rPr>
                <w:rFonts w:ascii="Calibri" w:eastAsia="Calibri" w:hAnsi="Calibri" w:cs="Calibri"/>
              </w:rPr>
              <w:t>Tracing</w:t>
            </w:r>
          </w:p>
        </w:tc>
        <w:tc>
          <w:tcPr>
            <w:tcW w:w="3160" w:type="dxa"/>
            <w:shd w:val="clear" w:color="auto" w:fill="F2F7FC"/>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Open</w:t>
            </w:r>
            <w:r w:rsidRPr="00764464">
              <w:rPr>
                <w:rFonts w:ascii="Calibri" w:eastAsia="Calibri" w:hAnsi="Calibri" w:cs="Calibri"/>
              </w:rPr>
              <w:t xml:space="preserve"> </w:t>
            </w:r>
            <w:r w:rsidRPr="00764464">
              <w:rPr>
                <w:rFonts w:ascii="Calibri" w:eastAsia="Calibri" w:hAnsi="Calibri" w:cs="Calibri"/>
              </w:rPr>
              <w:t>Telemetry + New Relic Distributed Tracing</w:t>
            </w:r>
          </w:p>
        </w:tc>
        <w:tc>
          <w:tcPr>
            <w:tcW w:w="3760" w:type="dxa"/>
            <w:shd w:val="clear" w:color="auto" w:fill="F2F7FC"/>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End-to-end distributed request and event tracing</w:t>
            </w:r>
          </w:p>
        </w:tc>
      </w:tr>
      <w:tr w:rsidR="00CB2660">
        <w:tc>
          <w:tcPr>
            <w:tcW w:w="2400" w:type="dxa"/>
            <w:shd w:val="clear" w:color="auto" w:fill="FFFFFF"/>
            <w:tcMar>
              <w:top w:w="90" w:type="dxa"/>
              <w:left w:w="120" w:type="dxa"/>
              <w:bottom w:w="90" w:type="dxa"/>
              <w:right w:w="120" w:type="dxa"/>
            </w:tcMar>
          </w:tcPr>
          <w:p w:rsidR="00CB2660" w:rsidRPr="00764464" w:rsidRDefault="000C46DA">
            <w:pPr>
              <w:spacing w:line="260" w:lineRule="auto"/>
              <w:rPr>
                <w:rFonts w:ascii="Calibri" w:eastAsia="Calibri" w:hAnsi="Calibri" w:cs="Calibri"/>
              </w:rPr>
            </w:pPr>
            <w:r>
              <w:rPr>
                <w:rFonts w:ascii="Calibri" w:eastAsia="Calibri" w:hAnsi="Calibri" w:cs="Calibri"/>
              </w:rPr>
              <w:t>Infrastructure</w:t>
            </w:r>
          </w:p>
        </w:tc>
        <w:tc>
          <w:tcPr>
            <w:tcW w:w="3160" w:type="dxa"/>
            <w:shd w:val="clear" w:color="auto" w:fill="FFFFFF"/>
            <w:tcMar>
              <w:top w:w="90" w:type="dxa"/>
              <w:left w:w="120" w:type="dxa"/>
              <w:bottom w:w="90" w:type="dxa"/>
              <w:right w:w="120" w:type="dxa"/>
            </w:tcMar>
          </w:tcPr>
          <w:p w:rsidR="00CB2660" w:rsidRPr="00764464" w:rsidRDefault="000C46DA">
            <w:pPr>
              <w:spacing w:line="260" w:lineRule="auto"/>
              <w:rPr>
                <w:rFonts w:ascii="Calibri" w:eastAsia="Calibri" w:hAnsi="Calibri" w:cs="Calibri"/>
              </w:rPr>
            </w:pPr>
            <w:r>
              <w:rPr>
                <w:rFonts w:ascii="Calibri" w:eastAsia="Calibri" w:hAnsi="Calibri" w:cs="Calibri"/>
              </w:rPr>
              <w:t>Terraform</w:t>
            </w:r>
          </w:p>
        </w:tc>
        <w:tc>
          <w:tcPr>
            <w:tcW w:w="3760" w:type="dxa"/>
            <w:shd w:val="clear" w:color="auto" w:fill="FFFFFF"/>
            <w:tcMar>
              <w:top w:w="90" w:type="dxa"/>
              <w:left w:w="120" w:type="dxa"/>
              <w:bottom w:w="90" w:type="dxa"/>
              <w:right w:w="120" w:type="dxa"/>
            </w:tcMar>
          </w:tcPr>
          <w:p w:rsidR="00CB2660" w:rsidRPr="00764464" w:rsidRDefault="00764464">
            <w:pPr>
              <w:spacing w:line="260" w:lineRule="auto"/>
              <w:rPr>
                <w:rFonts w:ascii="Calibri" w:eastAsia="Calibri" w:hAnsi="Calibri" w:cs="Calibri"/>
              </w:rPr>
            </w:pPr>
            <w:r w:rsidRPr="00764464">
              <w:rPr>
                <w:rFonts w:ascii="Calibri" w:eastAsia="Calibri" w:hAnsi="Calibri" w:cs="Calibri"/>
              </w:rPr>
              <w:t>Infrastructure as Code (IaC) for provisioning and managing cloud resources</w:t>
            </w:r>
          </w:p>
        </w:tc>
      </w:tr>
    </w:tbl>
    <w:p w:rsidR="00CB2660" w:rsidRDefault="00CB2660" w:rsidP="00376AA0">
      <w:pPr>
        <w:spacing w:before="120" w:after="240"/>
      </w:pPr>
    </w:p>
    <w:p w:rsidR="00CB2660" w:rsidRPr="008D6DD8" w:rsidRDefault="000C46DA" w:rsidP="008D6DD8">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13. Future Roadmap</w:t>
      </w:r>
    </w:p>
    <w:p w:rsidR="00CB2660" w:rsidRDefault="000C46DA">
      <w:pPr>
        <w:spacing w:after="160" w:line="276" w:lineRule="auto"/>
      </w:pPr>
      <w:r>
        <w:rPr>
          <w:rFonts w:ascii="Calibri" w:eastAsia="Calibri" w:hAnsi="Calibri" w:cs="Calibri"/>
          <w:sz w:val="22"/>
          <w:szCs w:val="22"/>
        </w:rPr>
        <w:t>The proposed architecture has been designed to support future enhancements without requiring significant changes to the core platform. The modular and event-driven approach enables new capabilities to be introduced incrementally as business needs evolve.</w:t>
      </w:r>
    </w:p>
    <w:p w:rsidR="00CB2660" w:rsidRDefault="000C46DA">
      <w:pPr>
        <w:pStyle w:val="Heading2"/>
        <w:spacing w:before="260" w:after="130"/>
      </w:pPr>
      <w:r>
        <w:rPr>
          <w:rFonts w:ascii="Calibri" w:eastAsia="Calibri" w:hAnsi="Calibri" w:cs="Calibri"/>
          <w:b/>
          <w:bCs/>
          <w:sz w:val="25"/>
          <w:szCs w:val="25"/>
        </w:rPr>
        <w:t>Planned Evolution</w:t>
      </w:r>
    </w:p>
    <w:tbl>
      <w:tblPr>
        <w:tblW w:w="97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668"/>
        <w:gridCol w:w="3859"/>
        <w:gridCol w:w="4193"/>
      </w:tblGrid>
      <w:tr w:rsidR="00CB2660" w:rsidTr="00DE7140">
        <w:trPr>
          <w:tblHeader/>
        </w:trPr>
        <w:tc>
          <w:tcPr>
            <w:tcW w:w="1668"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Phase</w:t>
            </w:r>
          </w:p>
        </w:tc>
        <w:tc>
          <w:tcPr>
            <w:tcW w:w="3859"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Enhancement</w:t>
            </w:r>
          </w:p>
        </w:tc>
        <w:tc>
          <w:tcPr>
            <w:tcW w:w="4193" w:type="dxa"/>
            <w:shd w:val="clear" w:color="auto" w:fill="1F3864"/>
            <w:tcMar>
              <w:top w:w="100" w:type="dxa"/>
              <w:left w:w="120" w:type="dxa"/>
              <w:bottom w:w="100" w:type="dxa"/>
              <w:right w:w="120" w:type="dxa"/>
            </w:tcMar>
          </w:tcPr>
          <w:p w:rsidR="00CB2660" w:rsidRDefault="000C46DA">
            <w:r>
              <w:rPr>
                <w:rFonts w:ascii="Calibri" w:eastAsia="Calibri" w:hAnsi="Calibri" w:cs="Calibri"/>
                <w:b/>
                <w:bCs/>
                <w:color w:val="FFFFFF"/>
              </w:rPr>
              <w:t>Benefit</w:t>
            </w:r>
          </w:p>
        </w:tc>
      </w:tr>
      <w:tr w:rsidR="00CB2660" w:rsidTr="00DE7140">
        <w:tc>
          <w:tcPr>
            <w:tcW w:w="1668"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Phase 1</w:t>
            </w:r>
          </w:p>
        </w:tc>
        <w:tc>
          <w:tcPr>
            <w:tcW w:w="3859"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Retail Media Intelligence Platform</w:t>
            </w:r>
          </w:p>
        </w:tc>
        <w:tc>
          <w:tcPr>
            <w:tcW w:w="4193"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Foundational event capture and campaign reporting</w:t>
            </w:r>
          </w:p>
        </w:tc>
      </w:tr>
      <w:tr w:rsidR="00CB2660" w:rsidTr="00DE7140">
        <w:tc>
          <w:tcPr>
            <w:tcW w:w="1668"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Phase 2</w:t>
            </w:r>
          </w:p>
        </w:tc>
        <w:tc>
          <w:tcPr>
            <w:tcW w:w="3859"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AI-powered campaign recommendations</w:t>
            </w:r>
          </w:p>
        </w:tc>
        <w:tc>
          <w:tcPr>
            <w:tcW w:w="4193" w:type="dxa"/>
            <w:shd w:val="clear" w:color="auto" w:fill="F2F7FC"/>
            <w:tcMar>
              <w:top w:w="90" w:type="dxa"/>
              <w:left w:w="120" w:type="dxa"/>
              <w:bottom w:w="90" w:type="dxa"/>
              <w:right w:w="120" w:type="dxa"/>
            </w:tcMar>
          </w:tcPr>
          <w:p w:rsidR="00CB2660" w:rsidRDefault="000C46DA">
            <w:pPr>
              <w:spacing w:line="260" w:lineRule="auto"/>
            </w:pPr>
            <w:r>
              <w:rPr>
                <w:rFonts w:ascii="Calibri" w:eastAsia="Calibri" w:hAnsi="Calibri" w:cs="Calibri"/>
              </w:rPr>
              <w:t>Improve campaign optimization</w:t>
            </w:r>
          </w:p>
        </w:tc>
      </w:tr>
      <w:tr w:rsidR="00CB2660" w:rsidTr="00DE7140">
        <w:tc>
          <w:tcPr>
            <w:tcW w:w="1668"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Phase 3</w:t>
            </w:r>
          </w:p>
        </w:tc>
        <w:tc>
          <w:tcPr>
            <w:tcW w:w="3859"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Fraud detection and anomaly monitoring</w:t>
            </w:r>
          </w:p>
        </w:tc>
        <w:tc>
          <w:tcPr>
            <w:tcW w:w="4193" w:type="dxa"/>
            <w:shd w:val="clear" w:color="auto" w:fill="FFFFFF"/>
            <w:tcMar>
              <w:top w:w="90" w:type="dxa"/>
              <w:left w:w="120" w:type="dxa"/>
              <w:bottom w:w="90" w:type="dxa"/>
              <w:right w:w="120" w:type="dxa"/>
            </w:tcMar>
          </w:tcPr>
          <w:p w:rsidR="00CB2660" w:rsidRDefault="000C46DA">
            <w:pPr>
              <w:spacing w:line="260" w:lineRule="auto"/>
            </w:pPr>
            <w:r>
              <w:rPr>
                <w:rFonts w:ascii="Calibri" w:eastAsia="Calibri" w:hAnsi="Calibri" w:cs="Calibri"/>
              </w:rPr>
              <w:t>Protect campaign spend and data integrity</w:t>
            </w:r>
          </w:p>
        </w:tc>
      </w:tr>
    </w:tbl>
    <w:p w:rsidR="00CB2660" w:rsidRDefault="00CB2660" w:rsidP="00DE7140">
      <w:pPr>
        <w:spacing w:before="120" w:after="240"/>
      </w:pPr>
    </w:p>
    <w:p w:rsidR="00CB2660" w:rsidRPr="00412EA9" w:rsidRDefault="000C46DA" w:rsidP="00412EA9">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14. Challenges and Trade-offs</w:t>
      </w:r>
    </w:p>
    <w:p w:rsidR="00CB2660" w:rsidRDefault="000C46DA">
      <w:pPr>
        <w:spacing w:after="160" w:line="276" w:lineRule="auto"/>
      </w:pPr>
      <w:r>
        <w:rPr>
          <w:rFonts w:ascii="Calibri" w:eastAsia="Calibri" w:hAnsi="Calibri" w:cs="Calibri"/>
          <w:sz w:val="22"/>
          <w:szCs w:val="22"/>
        </w:rPr>
        <w:t>This chapter anticipates potential challenges in the platform and explains the trade-offs consciously made between real-time performance, data accuracy, operational complexity, and cost.</w:t>
      </w:r>
    </w:p>
    <w:p w:rsidR="00CB2660" w:rsidRDefault="000C46DA">
      <w:pPr>
        <w:pStyle w:val="Heading2"/>
        <w:spacing w:before="260" w:after="130"/>
      </w:pPr>
      <w:r>
        <w:rPr>
          <w:rFonts w:ascii="Calibri" w:eastAsia="Calibri" w:hAnsi="Calibri" w:cs="Calibri"/>
          <w:b/>
          <w:bCs/>
          <w:sz w:val="25"/>
          <w:szCs w:val="25"/>
        </w:rPr>
        <w:t>14.1 Real-Time Performance vs. Data Accuracy</w:t>
      </w:r>
    </w:p>
    <w:p w:rsidR="00CB2660" w:rsidRDefault="000C46DA">
      <w:pPr>
        <w:spacing w:after="160" w:line="276" w:lineRule="auto"/>
      </w:pPr>
      <w:r>
        <w:rPr>
          <w:rFonts w:ascii="Calibri" w:eastAsia="Calibri" w:hAnsi="Calibri" w:cs="Calibri"/>
          <w:sz w:val="22"/>
          <w:szCs w:val="22"/>
        </w:rPr>
        <w:t>Pub/Sub delivers events at-least-once, not exactly-once. Under network failures or consumer restarts, the same event can be delivered twice. Processing it twice would double-count a click.</w:t>
      </w:r>
    </w:p>
    <w:p w:rsidR="00CB2660" w:rsidRDefault="000C46DA">
      <w:pPr>
        <w:pStyle w:val="ListParagraph"/>
        <w:numPr>
          <w:ilvl w:val="0"/>
          <w:numId w:val="2"/>
        </w:numPr>
        <w:spacing w:after="90" w:line="270" w:lineRule="auto"/>
      </w:pPr>
      <w:r>
        <w:rPr>
          <w:rFonts w:ascii="Calibri" w:eastAsia="Calibri" w:hAnsi="Calibri" w:cs="Calibri"/>
          <w:sz w:val="22"/>
          <w:szCs w:val="22"/>
        </w:rPr>
        <w:t>Chosen resolution: Idempotent event handlers using CorrelationId as a deduplication key. This adds a Redis lookup per event but eliminates double-counting.</w:t>
      </w:r>
    </w:p>
    <w:p w:rsidR="00CB2660" w:rsidRDefault="000C46DA">
      <w:pPr>
        <w:pStyle w:val="ListParagraph"/>
        <w:numPr>
          <w:ilvl w:val="0"/>
          <w:numId w:val="2"/>
        </w:numPr>
        <w:spacing w:after="90" w:line="270" w:lineRule="auto"/>
      </w:pPr>
      <w:r>
        <w:rPr>
          <w:rFonts w:ascii="Calibri" w:eastAsia="Calibri" w:hAnsi="Calibri" w:cs="Calibri"/>
          <w:sz w:val="22"/>
          <w:szCs w:val="22"/>
        </w:rPr>
        <w:lastRenderedPageBreak/>
        <w:t>Alternative rejected: Exactly-once processing via distributed transactions. This guarantees accuracy but adds significant latency (two-phase commit across SQL Server and Pub/Sub acknowledgement) and reduces throughput under load.</w:t>
      </w:r>
    </w:p>
    <w:p w:rsidR="00CB2660" w:rsidRDefault="00CB2660">
      <w:pPr>
        <w:spacing w:after="140"/>
      </w:pPr>
    </w:p>
    <w:p w:rsidR="00CB2660" w:rsidRDefault="000C46DA">
      <w:pPr>
        <w:pStyle w:val="Heading2"/>
        <w:spacing w:before="260" w:after="130"/>
      </w:pPr>
      <w:r>
        <w:rPr>
          <w:rFonts w:ascii="Calibri" w:eastAsia="Calibri" w:hAnsi="Calibri" w:cs="Calibri"/>
          <w:b/>
          <w:bCs/>
          <w:sz w:val="25"/>
          <w:szCs w:val="25"/>
        </w:rPr>
        <w:t>14.2 SQL Server vs. NoSQL for Raw Event Storage</w:t>
      </w:r>
    </w:p>
    <w:p w:rsidR="00CB2660" w:rsidRDefault="000C46DA">
      <w:pPr>
        <w:spacing w:after="160" w:line="276" w:lineRule="auto"/>
      </w:pPr>
      <w:r>
        <w:rPr>
          <w:rFonts w:ascii="Calibri" w:eastAsia="Calibri" w:hAnsi="Calibri" w:cs="Calibri"/>
          <w:sz w:val="22"/>
          <w:szCs w:val="22"/>
        </w:rPr>
        <w:t>SQL Server provides ACID transactions and a familiar operational model, but its write throughput is lower than purpose-built event stores like Cassandra or DynamoDB at extreme scale.</w:t>
      </w:r>
    </w:p>
    <w:p w:rsidR="00CB2660" w:rsidRDefault="000C46DA">
      <w:pPr>
        <w:pStyle w:val="ListParagraph"/>
        <w:numPr>
          <w:ilvl w:val="0"/>
          <w:numId w:val="2"/>
        </w:numPr>
        <w:spacing w:after="90" w:line="270" w:lineRule="auto"/>
      </w:pPr>
      <w:r>
        <w:rPr>
          <w:rFonts w:ascii="Calibri" w:eastAsia="Calibri" w:hAnsi="Calibri" w:cs="Calibri"/>
          <w:sz w:val="22"/>
          <w:szCs w:val="22"/>
        </w:rPr>
        <w:t>Chosen resolution: SQL Server with horizontal sharding by TenantId for the first phase. The IRawEventStore interface isolates this decision, so migrating to Cassandra later is an infrastructure change, not a business logic change.</w:t>
      </w:r>
    </w:p>
    <w:p w:rsidR="00CB2660" w:rsidRDefault="000C46DA">
      <w:pPr>
        <w:pStyle w:val="ListParagraph"/>
        <w:numPr>
          <w:ilvl w:val="0"/>
          <w:numId w:val="2"/>
        </w:numPr>
        <w:spacing w:after="90" w:line="270" w:lineRule="auto"/>
      </w:pPr>
      <w:r>
        <w:rPr>
          <w:rFonts w:ascii="Calibri" w:eastAsia="Calibri" w:hAnsi="Calibri" w:cs="Calibri"/>
          <w:sz w:val="22"/>
          <w:szCs w:val="22"/>
        </w:rPr>
        <w:t>Snowflake was also considered as an alternative to BigQuery for the analytical store. BigQuery was chosen for its native GCP integration and consistency with the re</w:t>
      </w:r>
      <w:r w:rsidR="00AF30C9">
        <w:rPr>
          <w:rFonts w:ascii="Calibri" w:eastAsia="Calibri" w:hAnsi="Calibri" w:cs="Calibri"/>
          <w:sz w:val="22"/>
          <w:szCs w:val="22"/>
        </w:rPr>
        <w:t>st of the managed-service stack,</w:t>
      </w:r>
      <w:r>
        <w:rPr>
          <w:rFonts w:ascii="Calibri" w:eastAsia="Calibri" w:hAnsi="Calibri" w:cs="Calibri"/>
          <w:sz w:val="22"/>
          <w:szCs w:val="22"/>
        </w:rPr>
        <w:t xml:space="preserve"> Snowflake is cloud-agnostic and would be a reasonable choice in a multi-cloud strategy, at the cost of an additional vendor relationship and separate data pipeline tooling outside the GCP ecosystem this platform is built on.</w:t>
      </w:r>
    </w:p>
    <w:p w:rsidR="00CB2660" w:rsidRDefault="000C46DA">
      <w:pPr>
        <w:pStyle w:val="ListParagraph"/>
        <w:numPr>
          <w:ilvl w:val="0"/>
          <w:numId w:val="2"/>
        </w:numPr>
        <w:spacing w:after="90" w:line="270" w:lineRule="auto"/>
      </w:pPr>
      <w:r>
        <w:rPr>
          <w:rFonts w:ascii="Calibri" w:eastAsia="Calibri" w:hAnsi="Calibri" w:cs="Calibri"/>
          <w:sz w:val="22"/>
          <w:szCs w:val="22"/>
        </w:rPr>
        <w:t>Trigger to revisit: when single SQL Server instance write throughput exceeds 80% capacity at peak load.</w:t>
      </w:r>
    </w:p>
    <w:p w:rsidR="00CB2660" w:rsidRDefault="00CB2660">
      <w:pPr>
        <w:spacing w:after="140"/>
      </w:pPr>
    </w:p>
    <w:p w:rsidR="00CB2660" w:rsidRDefault="000C46DA">
      <w:pPr>
        <w:pStyle w:val="Heading2"/>
        <w:spacing w:before="260" w:after="130"/>
      </w:pPr>
      <w:r>
        <w:rPr>
          <w:rFonts w:ascii="Calibri" w:eastAsia="Calibri" w:hAnsi="Calibri" w:cs="Calibri"/>
          <w:b/>
          <w:bCs/>
          <w:sz w:val="25"/>
          <w:szCs w:val="25"/>
        </w:rPr>
        <w:t>14.3 Eventual Consistency in the Analytics Pipeline</w:t>
      </w:r>
    </w:p>
    <w:p w:rsidR="00CB2660" w:rsidRDefault="000C46DA">
      <w:pPr>
        <w:spacing w:after="160" w:line="276" w:lineRule="auto"/>
      </w:pPr>
      <w:r>
        <w:rPr>
          <w:rFonts w:ascii="Calibri" w:eastAsia="Calibri" w:hAnsi="Calibri" w:cs="Calibri"/>
          <w:sz w:val="22"/>
          <w:szCs w:val="22"/>
        </w:rPr>
        <w:t>The path from event ingestion to a readable metric involves four steps: Collector persists, Pub/Sub delivers, Processor enriches, Aggregator writes. Each step adds latency. A marketer querying immediately after an event fires may not see it reflected for several seconds.</w:t>
      </w:r>
    </w:p>
    <w:p w:rsidR="00CB2660" w:rsidRDefault="000C46DA" w:rsidP="00827914">
      <w:pPr>
        <w:pStyle w:val="ListParagraph"/>
        <w:numPr>
          <w:ilvl w:val="0"/>
          <w:numId w:val="2"/>
        </w:numPr>
        <w:spacing w:after="90" w:line="270" w:lineRule="auto"/>
      </w:pPr>
      <w:r>
        <w:rPr>
          <w:rFonts w:ascii="Calibri" w:eastAsia="Calibri" w:hAnsi="Calibri" w:cs="Calibri"/>
          <w:sz w:val="22"/>
          <w:szCs w:val="22"/>
        </w:rPr>
        <w:t>Chosen resolution: Near-real-time is sufficient for campaign reporting. Metrics dashboards do not need sub-second accuracy. This allows each component to be independently scaled and deployed without synchronisation.</w:t>
      </w:r>
    </w:p>
    <w:p w:rsidR="00CB2660" w:rsidRDefault="000C46DA">
      <w:pPr>
        <w:pStyle w:val="Heading2"/>
        <w:spacing w:before="260" w:after="130"/>
      </w:pPr>
      <w:r>
        <w:rPr>
          <w:rFonts w:ascii="Calibri" w:eastAsia="Calibri" w:hAnsi="Calibri" w:cs="Calibri"/>
          <w:b/>
          <w:bCs/>
          <w:sz w:val="25"/>
          <w:szCs w:val="25"/>
        </w:rPr>
        <w:t>14.4 Shared Platform vs. Dedicated Infrastructure per Tenant</w:t>
      </w:r>
    </w:p>
    <w:p w:rsidR="00CB2660" w:rsidRDefault="000C46DA">
      <w:pPr>
        <w:spacing w:after="160" w:line="276" w:lineRule="auto"/>
      </w:pPr>
      <w:r>
        <w:rPr>
          <w:rFonts w:ascii="Calibri" w:eastAsia="Calibri" w:hAnsi="Calibri" w:cs="Calibri"/>
          <w:sz w:val="22"/>
          <w:szCs w:val="22"/>
        </w:rPr>
        <w:t>A shared platform (one Pub/Sub topic, one GKE cluster) reduces cost but introduces the noisy neighbour problem, where one high-volume tenant degrades processing for others.</w:t>
      </w:r>
    </w:p>
    <w:p w:rsidR="00CB2660" w:rsidRDefault="000C46DA">
      <w:pPr>
        <w:pStyle w:val="ListParagraph"/>
        <w:numPr>
          <w:ilvl w:val="0"/>
          <w:numId w:val="2"/>
        </w:numPr>
        <w:spacing w:after="90" w:line="270" w:lineRule="auto"/>
      </w:pPr>
      <w:r>
        <w:rPr>
          <w:rFonts w:ascii="Calibri" w:eastAsia="Calibri" w:hAnsi="Calibri" w:cs="Calibri"/>
          <w:sz w:val="22"/>
          <w:szCs w:val="22"/>
        </w:rPr>
        <w:t xml:space="preserve">Chosen resolution: Rate limiting per tenant at the Collector layer controls event </w:t>
      </w:r>
      <w:r w:rsidR="00827914">
        <w:rPr>
          <w:rFonts w:ascii="Calibri" w:eastAsia="Calibri" w:hAnsi="Calibri" w:cs="Calibri"/>
          <w:sz w:val="22"/>
          <w:szCs w:val="22"/>
        </w:rPr>
        <w:t xml:space="preserve">volume. Pub/Sub partitioning </w:t>
      </w:r>
      <w:r>
        <w:rPr>
          <w:rFonts w:ascii="Calibri" w:eastAsia="Calibri" w:hAnsi="Calibri" w:cs="Calibri"/>
          <w:sz w:val="22"/>
          <w:szCs w:val="22"/>
        </w:rPr>
        <w:t>ensures fair scheduling. Resource quotas at the GKE namespace level isolate compute.</w:t>
      </w:r>
    </w:p>
    <w:p w:rsidR="00CB2660" w:rsidRDefault="00CB2660">
      <w:pPr>
        <w:spacing w:after="140"/>
      </w:pPr>
    </w:p>
    <w:p w:rsidR="00CB2660" w:rsidRDefault="000C46DA">
      <w:pPr>
        <w:pStyle w:val="Heading2"/>
        <w:spacing w:before="260" w:after="130"/>
      </w:pPr>
      <w:r>
        <w:rPr>
          <w:rFonts w:ascii="Calibri" w:eastAsia="Calibri" w:hAnsi="Calibri" w:cs="Calibri"/>
          <w:b/>
          <w:bCs/>
          <w:sz w:val="25"/>
          <w:szCs w:val="25"/>
        </w:rPr>
        <w:t>14.5 Custom Windowing vs. a Dedicated Stream Processing Framework</w:t>
      </w:r>
    </w:p>
    <w:p w:rsidR="00CB2660" w:rsidRDefault="000C46DA">
      <w:pPr>
        <w:spacing w:after="160" w:line="276" w:lineRule="auto"/>
      </w:pPr>
      <w:r>
        <w:rPr>
          <w:rFonts w:ascii="Calibri" w:eastAsia="Calibri" w:hAnsi="Calibri" w:cs="Calibri"/>
          <w:sz w:val="22"/>
          <w:szCs w:val="22"/>
        </w:rPr>
        <w:t xml:space="preserve">Frameworks like </w:t>
      </w:r>
      <w:r w:rsidR="00827914" w:rsidRPr="00827914">
        <w:rPr>
          <w:rFonts w:ascii="Calibri" w:eastAsia="Calibri" w:hAnsi="Calibri" w:cs="Calibri"/>
          <w:sz w:val="22"/>
          <w:szCs w:val="22"/>
        </w:rPr>
        <w:t>Google Cloud Dataflow</w:t>
      </w:r>
      <w:r>
        <w:rPr>
          <w:rFonts w:ascii="Calibri" w:eastAsia="Calibri" w:hAnsi="Calibri" w:cs="Calibri"/>
          <w:sz w:val="22"/>
          <w:szCs w:val="22"/>
        </w:rPr>
        <w:t>, or Kafka Streams provide native, robust support for session windowing, watermarking, and late-arriving events — but they introduce a new managed service to operate, monitor, and reason about.</w:t>
      </w:r>
    </w:p>
    <w:p w:rsidR="00CB2660" w:rsidRDefault="000C46DA">
      <w:pPr>
        <w:pStyle w:val="ListParagraph"/>
        <w:numPr>
          <w:ilvl w:val="0"/>
          <w:numId w:val="2"/>
        </w:numPr>
        <w:spacing w:after="90" w:line="270" w:lineRule="auto"/>
      </w:pPr>
      <w:r>
        <w:rPr>
          <w:rFonts w:ascii="Calibri" w:eastAsia="Calibri" w:hAnsi="Calibri" w:cs="Calibri"/>
          <w:sz w:val="22"/>
          <w:szCs w:val="22"/>
        </w:rPr>
        <w:t xml:space="preserve">Chosen resolution: Implement session windowing directly in the .NET Event Processor using Redis TTL-based expiry as the inactivity timer. The windowing requirement here is a single, simple gap-based </w:t>
      </w:r>
      <w:r>
        <w:rPr>
          <w:rFonts w:ascii="Calibri" w:eastAsia="Calibri" w:hAnsi="Calibri" w:cs="Calibri"/>
          <w:sz w:val="22"/>
          <w:szCs w:val="22"/>
        </w:rPr>
        <w:lastRenderedPageBreak/>
        <w:t>window, not multiple joined streams or complex temporal aggregations, so the operational cost of a dedicated framework is not justified by the actual complexity of the problem.</w:t>
      </w:r>
    </w:p>
    <w:p w:rsidR="00827914" w:rsidRPr="00827914" w:rsidRDefault="000C46DA" w:rsidP="00451F6A">
      <w:pPr>
        <w:pStyle w:val="ListParagraph"/>
        <w:numPr>
          <w:ilvl w:val="0"/>
          <w:numId w:val="2"/>
        </w:numPr>
        <w:spacing w:after="90" w:line="270" w:lineRule="auto"/>
      </w:pPr>
      <w:r w:rsidRPr="00827914">
        <w:rPr>
          <w:rFonts w:ascii="Calibri" w:eastAsia="Calibri" w:hAnsi="Calibri" w:cs="Calibri"/>
          <w:sz w:val="22"/>
          <w:szCs w:val="22"/>
        </w:rPr>
        <w:t>Alternative rejected: Google Cloud Dataflow. Would provide stronger guarantees around late and out-of-order events and built-in watermarking, at th</w:t>
      </w:r>
      <w:r w:rsidR="00827914">
        <w:rPr>
          <w:rFonts w:ascii="Calibri" w:eastAsia="Calibri" w:hAnsi="Calibri" w:cs="Calibri"/>
          <w:sz w:val="22"/>
          <w:szCs w:val="22"/>
        </w:rPr>
        <w:t>e cost of an additional managed.</w:t>
      </w:r>
    </w:p>
    <w:p w:rsidR="00CB2660" w:rsidRDefault="000C46DA" w:rsidP="00451F6A">
      <w:pPr>
        <w:pStyle w:val="ListParagraph"/>
        <w:numPr>
          <w:ilvl w:val="0"/>
          <w:numId w:val="2"/>
        </w:numPr>
        <w:spacing w:after="90" w:line="270" w:lineRule="auto"/>
      </w:pPr>
      <w:r w:rsidRPr="00827914">
        <w:rPr>
          <w:rFonts w:ascii="Calibri" w:eastAsia="Calibri" w:hAnsi="Calibri" w:cs="Calibri"/>
          <w:sz w:val="22"/>
          <w:szCs w:val="22"/>
        </w:rPr>
        <w:t>Trigger to revisit: If future requirements introduce multiple joined event streams, complex multi-window aggregations, or a hard requirement for exactly-once stateful processing at very high scale, a dedicated framework would become justified. The custom approach is proportionate to today's single-window need, not a permanent ceiling.</w:t>
      </w:r>
    </w:p>
    <w:p w:rsidR="00CB2660" w:rsidRDefault="00CB2660">
      <w:pPr>
        <w:spacing w:after="140"/>
      </w:pPr>
    </w:p>
    <w:p w:rsidR="00CB2660" w:rsidRDefault="000C46DA">
      <w:pPr>
        <w:pStyle w:val="Heading2"/>
        <w:spacing w:before="260" w:after="130"/>
      </w:pPr>
      <w:r>
        <w:rPr>
          <w:rFonts w:ascii="Calibri" w:eastAsia="Calibri" w:hAnsi="Calibri" w:cs="Calibri"/>
          <w:b/>
          <w:bCs/>
          <w:sz w:val="25"/>
          <w:szCs w:val="25"/>
        </w:rPr>
        <w:t>14.6 Live Cache Counters vs. Disposable Cache with TTL</w:t>
      </w:r>
    </w:p>
    <w:p w:rsidR="00CB2660" w:rsidRDefault="000C46DA">
      <w:pPr>
        <w:spacing w:after="160" w:line="276" w:lineRule="auto"/>
      </w:pPr>
      <w:r>
        <w:rPr>
          <w:rFonts w:ascii="Calibri" w:eastAsia="Calibri" w:hAnsi="Calibri" w:cs="Calibri"/>
          <w:sz w:val="22"/>
          <w:szCs w:val="22"/>
        </w:rPr>
        <w:t>Campaign metrics could be served from a disposable cache that is periodically re-fetched from the analytics store on a timer, or from Redis counters that are updated atomically on every event and treated as the live source of truth for real-time queries.</w:t>
      </w:r>
    </w:p>
    <w:p w:rsidR="00CB2660" w:rsidRDefault="000C46DA">
      <w:pPr>
        <w:pStyle w:val="ListParagraph"/>
        <w:numPr>
          <w:ilvl w:val="0"/>
          <w:numId w:val="2"/>
        </w:numPr>
        <w:spacing w:after="90" w:line="270" w:lineRule="auto"/>
      </w:pPr>
      <w:r>
        <w:rPr>
          <w:rFonts w:ascii="Calibri" w:eastAsia="Calibri" w:hAnsi="Calibri" w:cs="Calibri"/>
          <w:sz w:val="22"/>
          <w:szCs w:val="22"/>
        </w:rPr>
        <w:t>Chosen resolution: Atomic Redis counters as the live source of truth, incremented directly by the Aggregator on every event, backed by a startup recovery process that re-seeds counters from the last durable snapshot if the cache is found empty. This removes read staleness entirely under normal operation and removes TTL tuning as an ongoing cost lever.</w:t>
      </w:r>
    </w:p>
    <w:p w:rsidR="00997FBD" w:rsidRPr="00997FBD" w:rsidRDefault="000C46DA" w:rsidP="005F2541">
      <w:pPr>
        <w:pStyle w:val="ListParagraph"/>
        <w:numPr>
          <w:ilvl w:val="0"/>
          <w:numId w:val="2"/>
        </w:numPr>
        <w:spacing w:after="90" w:line="270" w:lineRule="auto"/>
      </w:pPr>
      <w:r w:rsidRPr="00997FBD">
        <w:rPr>
          <w:rFonts w:ascii="Calibri" w:eastAsia="Calibri" w:hAnsi="Calibri" w:cs="Calibri"/>
          <w:sz w:val="22"/>
          <w:szCs w:val="22"/>
        </w:rPr>
        <w:t xml:space="preserve">Alternative rejected: A disposable cache re-fetched on a fixed TTL. Simpler to reason about and requires no recovery mechanism, but bounds freshness to an arbitrary time window </w:t>
      </w:r>
      <w:r w:rsidR="00997FBD">
        <w:rPr>
          <w:rFonts w:ascii="Calibri" w:eastAsia="Calibri" w:hAnsi="Calibri" w:cs="Calibri"/>
          <w:sz w:val="22"/>
          <w:szCs w:val="22"/>
        </w:rPr>
        <w:t>rather than being genuinely live.</w:t>
      </w:r>
    </w:p>
    <w:p w:rsidR="00CB2660" w:rsidRDefault="000C46DA" w:rsidP="005F2541">
      <w:pPr>
        <w:pStyle w:val="ListParagraph"/>
        <w:numPr>
          <w:ilvl w:val="0"/>
          <w:numId w:val="2"/>
        </w:numPr>
        <w:spacing w:after="90" w:line="270" w:lineRule="auto"/>
      </w:pPr>
      <w:bookmarkStart w:id="0" w:name="_GoBack"/>
      <w:bookmarkEnd w:id="0"/>
      <w:r w:rsidRPr="00997FBD">
        <w:rPr>
          <w:rFonts w:ascii="Calibri" w:eastAsia="Calibri" w:hAnsi="Calibri" w:cs="Calibri"/>
          <w:sz w:val="22"/>
          <w:szCs w:val="22"/>
        </w:rPr>
        <w:t>Trade-off accepted: live counters require an explicit recovery mechanism to survive a cache restart, which is more moving parts than a simple TTL re-fetch. The recovery service exists specifically to carry this cost.</w:t>
      </w:r>
    </w:p>
    <w:p w:rsidR="00CB2660" w:rsidRPr="00815311" w:rsidRDefault="000C46DA" w:rsidP="00815311">
      <w:pPr>
        <w:pStyle w:val="Heading1"/>
        <w:pBdr>
          <w:bottom w:val="single" w:sz="8" w:space="4" w:color="2E74B5"/>
        </w:pBdr>
        <w:spacing w:before="420" w:after="220"/>
        <w:rPr>
          <w:rFonts w:ascii="Calibri" w:eastAsia="Calibri" w:hAnsi="Calibri" w:cs="Calibri"/>
          <w:b/>
          <w:bCs/>
          <w:color w:val="1F3864"/>
        </w:rPr>
      </w:pPr>
      <w:r>
        <w:rPr>
          <w:rFonts w:ascii="Calibri" w:eastAsia="Calibri" w:hAnsi="Calibri" w:cs="Calibri"/>
          <w:b/>
          <w:bCs/>
          <w:color w:val="1F3864"/>
        </w:rPr>
        <w:t>15. Conclusion</w:t>
      </w:r>
    </w:p>
    <w:p w:rsidR="00CB2660" w:rsidRDefault="000C46DA">
      <w:pPr>
        <w:spacing w:after="160" w:line="276" w:lineRule="auto"/>
      </w:pPr>
      <w:r>
        <w:rPr>
          <w:rFonts w:ascii="Calibri" w:eastAsia="Calibri" w:hAnsi="Calibri" w:cs="Calibri"/>
          <w:sz w:val="22"/>
          <w:szCs w:val="22"/>
        </w:rPr>
        <w:t>The proposed architecture is designed to balance scalability, maintainability, and operational simplicity while supporting billions of customer interaction events per day. By combining asynchronous event processing, multi-tenant isolation, CQRS-inspired data separation, and managed cloud services, the platform provides a scalable foundation that can evolve incrementally as business requirements grow. The architecture leverages managed Google Cloud Platform services together with .NET, SQL Server, Redis, and BigQuery to deliver a maintainable and extensible solution aligned with current business requirements and future growth.</w:t>
      </w:r>
    </w:p>
    <w:p w:rsidR="00CB2660" w:rsidRDefault="000C46DA">
      <w:pPr>
        <w:pStyle w:val="Heading2"/>
        <w:spacing w:before="260" w:after="130"/>
      </w:pPr>
      <w:r>
        <w:rPr>
          <w:rFonts w:ascii="Calibri" w:eastAsia="Calibri" w:hAnsi="Calibri" w:cs="Calibri"/>
          <w:b/>
          <w:bCs/>
          <w:sz w:val="25"/>
          <w:szCs w:val="25"/>
        </w:rPr>
        <w:t>Key Outcomes</w:t>
      </w:r>
    </w:p>
    <w:p w:rsidR="00CB2660" w:rsidRDefault="000C46DA">
      <w:pPr>
        <w:pStyle w:val="ListParagraph"/>
        <w:numPr>
          <w:ilvl w:val="0"/>
          <w:numId w:val="2"/>
        </w:numPr>
        <w:spacing w:after="90" w:line="270" w:lineRule="auto"/>
      </w:pPr>
      <w:r>
        <w:rPr>
          <w:rFonts w:ascii="Calibri" w:eastAsia="Calibri" w:hAnsi="Calibri" w:cs="Calibri"/>
          <w:sz w:val="22"/>
          <w:szCs w:val="22"/>
        </w:rPr>
        <w:t>Cloud-native and scalable architecture.</w:t>
      </w:r>
    </w:p>
    <w:p w:rsidR="00CB2660" w:rsidRDefault="000C46DA">
      <w:pPr>
        <w:pStyle w:val="ListParagraph"/>
        <w:numPr>
          <w:ilvl w:val="0"/>
          <w:numId w:val="2"/>
        </w:numPr>
        <w:spacing w:after="90" w:line="270" w:lineRule="auto"/>
      </w:pPr>
      <w:r>
        <w:rPr>
          <w:rFonts w:ascii="Calibri" w:eastAsia="Calibri" w:hAnsi="Calibri" w:cs="Calibri"/>
          <w:sz w:val="22"/>
          <w:szCs w:val="22"/>
        </w:rPr>
        <w:t>Secure multi-tenant platform.</w:t>
      </w:r>
    </w:p>
    <w:p w:rsidR="00CB2660" w:rsidRDefault="000C46DA">
      <w:pPr>
        <w:pStyle w:val="ListParagraph"/>
        <w:numPr>
          <w:ilvl w:val="0"/>
          <w:numId w:val="2"/>
        </w:numPr>
        <w:spacing w:after="90" w:line="270" w:lineRule="auto"/>
      </w:pPr>
      <w:r>
        <w:rPr>
          <w:rFonts w:ascii="Calibri" w:eastAsia="Calibri" w:hAnsi="Calibri" w:cs="Calibri"/>
          <w:sz w:val="22"/>
          <w:szCs w:val="22"/>
        </w:rPr>
        <w:t>Near real-time event processing.</w:t>
      </w:r>
    </w:p>
    <w:p w:rsidR="00CB2660" w:rsidRDefault="000C46DA">
      <w:pPr>
        <w:pStyle w:val="ListParagraph"/>
        <w:numPr>
          <w:ilvl w:val="0"/>
          <w:numId w:val="2"/>
        </w:numPr>
        <w:spacing w:after="90" w:line="270" w:lineRule="auto"/>
      </w:pPr>
      <w:r>
        <w:rPr>
          <w:rFonts w:ascii="Calibri" w:eastAsia="Calibri" w:hAnsi="Calibri" w:cs="Calibri"/>
          <w:sz w:val="22"/>
          <w:szCs w:val="22"/>
        </w:rPr>
        <w:t>Operational and analytical workload separation.</w:t>
      </w:r>
    </w:p>
    <w:p w:rsidR="00CB2660" w:rsidRDefault="000C46DA">
      <w:pPr>
        <w:pStyle w:val="ListParagraph"/>
        <w:numPr>
          <w:ilvl w:val="0"/>
          <w:numId w:val="2"/>
        </w:numPr>
        <w:spacing w:after="90" w:line="270" w:lineRule="auto"/>
      </w:pPr>
      <w:r>
        <w:rPr>
          <w:rFonts w:ascii="Calibri" w:eastAsia="Calibri" w:hAnsi="Calibri" w:cs="Calibri"/>
          <w:sz w:val="22"/>
          <w:szCs w:val="22"/>
        </w:rPr>
        <w:lastRenderedPageBreak/>
        <w:t>Production-ready deployment model.</w:t>
      </w:r>
    </w:p>
    <w:p w:rsidR="00CB2660" w:rsidRDefault="000C46DA">
      <w:pPr>
        <w:pStyle w:val="ListParagraph"/>
        <w:numPr>
          <w:ilvl w:val="0"/>
          <w:numId w:val="2"/>
        </w:numPr>
        <w:spacing w:after="90" w:line="270" w:lineRule="auto"/>
      </w:pPr>
      <w:r>
        <w:rPr>
          <w:rFonts w:ascii="Calibri" w:eastAsia="Calibri" w:hAnsi="Calibri" w:cs="Calibri"/>
          <w:sz w:val="22"/>
          <w:szCs w:val="22"/>
        </w:rPr>
        <w:t>Extensible foundation for future capabilities.</w:t>
      </w:r>
    </w:p>
    <w:sectPr w:rsidR="00CB2660">
      <w:headerReference w:type="default" r:id="rId10"/>
      <w:footerReference w:type="default" r:id="rId11"/>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07F4" w:rsidRDefault="005507F4">
      <w:r>
        <w:separator/>
      </w:r>
    </w:p>
  </w:endnote>
  <w:endnote w:type="continuationSeparator" w:id="0">
    <w:p w:rsidR="005507F4" w:rsidRDefault="00550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1914" w:rsidRDefault="00411914">
    <w:pPr>
      <w:jc w:val="center"/>
    </w:pPr>
    <w:r>
      <w:rPr>
        <w:rFonts w:ascii="Calibri" w:eastAsia="Calibri" w:hAnsi="Calibri" w:cs="Calibri"/>
        <w:color w:val="999999"/>
        <w:sz w:val="16"/>
        <w:szCs w:val="16"/>
      </w:rPr>
      <w:t xml:space="preserve">Page </w:t>
    </w:r>
    <w:r>
      <w:rPr>
        <w:rFonts w:ascii="Calibri" w:eastAsia="Calibri" w:hAnsi="Calibri" w:cs="Calibri"/>
        <w:color w:val="999999"/>
        <w:sz w:val="16"/>
        <w:szCs w:val="16"/>
      </w:rPr>
      <w:fldChar w:fldCharType="begin"/>
    </w:r>
    <w:r>
      <w:rPr>
        <w:rFonts w:ascii="Calibri" w:eastAsia="Calibri" w:hAnsi="Calibri" w:cs="Calibri"/>
        <w:color w:val="999999"/>
        <w:sz w:val="16"/>
        <w:szCs w:val="16"/>
      </w:rPr>
      <w:instrText>PAGE</w:instrText>
    </w:r>
    <w:r>
      <w:rPr>
        <w:rFonts w:ascii="Calibri" w:eastAsia="Calibri" w:hAnsi="Calibri" w:cs="Calibri"/>
        <w:color w:val="999999"/>
        <w:sz w:val="16"/>
        <w:szCs w:val="16"/>
      </w:rPr>
      <w:fldChar w:fldCharType="separate"/>
    </w:r>
    <w:r w:rsidR="00997FBD">
      <w:rPr>
        <w:rFonts w:ascii="Calibri" w:eastAsia="Calibri" w:hAnsi="Calibri" w:cs="Calibri"/>
        <w:noProof/>
        <w:color w:val="999999"/>
        <w:sz w:val="16"/>
        <w:szCs w:val="16"/>
      </w:rPr>
      <w:t>16</w:t>
    </w:r>
    <w:r>
      <w:rPr>
        <w:rFonts w:ascii="Calibri" w:eastAsia="Calibri" w:hAnsi="Calibri" w:cs="Calibri"/>
        <w:color w:val="999999"/>
        <w:sz w:val="16"/>
        <w:szCs w:val="16"/>
      </w:rPr>
      <w:fldChar w:fldCharType="end"/>
    </w:r>
    <w:r>
      <w:rPr>
        <w:rFonts w:ascii="Calibri" w:eastAsia="Calibri" w:hAnsi="Calibri" w:cs="Calibri"/>
        <w:color w:val="999999"/>
        <w:sz w:val="16"/>
        <w:szCs w:val="16"/>
      </w:rPr>
      <w:t xml:space="preserve"> of </w:t>
    </w:r>
    <w:r>
      <w:rPr>
        <w:rFonts w:ascii="Calibri" w:eastAsia="Calibri" w:hAnsi="Calibri" w:cs="Calibri"/>
        <w:color w:val="999999"/>
        <w:sz w:val="16"/>
        <w:szCs w:val="16"/>
      </w:rPr>
      <w:fldChar w:fldCharType="begin"/>
    </w:r>
    <w:r>
      <w:rPr>
        <w:rFonts w:ascii="Calibri" w:eastAsia="Calibri" w:hAnsi="Calibri" w:cs="Calibri"/>
        <w:color w:val="999999"/>
        <w:sz w:val="16"/>
        <w:szCs w:val="16"/>
      </w:rPr>
      <w:instrText>NUMPAGES</w:instrText>
    </w:r>
    <w:r>
      <w:rPr>
        <w:rFonts w:ascii="Calibri" w:eastAsia="Calibri" w:hAnsi="Calibri" w:cs="Calibri"/>
        <w:color w:val="999999"/>
        <w:sz w:val="16"/>
        <w:szCs w:val="16"/>
      </w:rPr>
      <w:fldChar w:fldCharType="separate"/>
    </w:r>
    <w:r w:rsidR="00997FBD">
      <w:rPr>
        <w:rFonts w:ascii="Calibri" w:eastAsia="Calibri" w:hAnsi="Calibri" w:cs="Calibri"/>
        <w:noProof/>
        <w:color w:val="999999"/>
        <w:sz w:val="16"/>
        <w:szCs w:val="16"/>
      </w:rPr>
      <w:t>17</w:t>
    </w:r>
    <w:r>
      <w:rPr>
        <w:rFonts w:ascii="Calibri" w:eastAsia="Calibri" w:hAnsi="Calibri" w:cs="Calibri"/>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07F4" w:rsidRDefault="005507F4">
      <w:r>
        <w:separator/>
      </w:r>
    </w:p>
  </w:footnote>
  <w:footnote w:type="continuationSeparator" w:id="0">
    <w:p w:rsidR="005507F4" w:rsidRDefault="005507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1914" w:rsidRDefault="00411914">
    <w:pPr>
      <w:jc w:val="right"/>
    </w:pPr>
    <w:r>
      <w:rPr>
        <w:rFonts w:ascii="Calibri" w:eastAsia="Calibri" w:hAnsi="Calibri" w:cs="Calibri"/>
        <w:color w:val="999999"/>
        <w:sz w:val="16"/>
        <w:szCs w:val="16"/>
      </w:rPr>
      <w:t>Retail Media Intelligence Platform — Architecture Design Proposal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7E6C33"/>
    <w:multiLevelType w:val="hybridMultilevel"/>
    <w:tmpl w:val="61A2E5C4"/>
    <w:lvl w:ilvl="0" w:tplc="45DA346A">
      <w:start w:val="1"/>
      <w:numFmt w:val="bullet"/>
      <w:lvlText w:val="•"/>
      <w:lvlJc w:val="left"/>
      <w:pPr>
        <w:ind w:left="504" w:hanging="288"/>
      </w:pPr>
    </w:lvl>
    <w:lvl w:ilvl="1" w:tplc="2E98D13C">
      <w:numFmt w:val="decimal"/>
      <w:lvlText w:val=""/>
      <w:lvlJc w:val="left"/>
    </w:lvl>
    <w:lvl w:ilvl="2" w:tplc="9F3C2B6E">
      <w:numFmt w:val="decimal"/>
      <w:lvlText w:val=""/>
      <w:lvlJc w:val="left"/>
    </w:lvl>
    <w:lvl w:ilvl="3" w:tplc="8982D642">
      <w:numFmt w:val="decimal"/>
      <w:lvlText w:val=""/>
      <w:lvlJc w:val="left"/>
    </w:lvl>
    <w:lvl w:ilvl="4" w:tplc="3904DF82">
      <w:numFmt w:val="decimal"/>
      <w:lvlText w:val=""/>
      <w:lvlJc w:val="left"/>
    </w:lvl>
    <w:lvl w:ilvl="5" w:tplc="17707452">
      <w:numFmt w:val="decimal"/>
      <w:lvlText w:val=""/>
      <w:lvlJc w:val="left"/>
    </w:lvl>
    <w:lvl w:ilvl="6" w:tplc="D6E6DD98">
      <w:numFmt w:val="decimal"/>
      <w:lvlText w:val=""/>
      <w:lvlJc w:val="left"/>
    </w:lvl>
    <w:lvl w:ilvl="7" w:tplc="9EA4795E">
      <w:numFmt w:val="decimal"/>
      <w:lvlText w:val=""/>
      <w:lvlJc w:val="left"/>
    </w:lvl>
    <w:lvl w:ilvl="8" w:tplc="A7282B02">
      <w:numFmt w:val="decimal"/>
      <w:lvlText w:val=""/>
      <w:lvlJc w:val="left"/>
    </w:lvl>
  </w:abstractNum>
  <w:abstractNum w:abstractNumId="1" w15:restartNumberingAfterBreak="0">
    <w:nsid w:val="6A6036C5"/>
    <w:multiLevelType w:val="hybridMultilevel"/>
    <w:tmpl w:val="B1DCD770"/>
    <w:lvl w:ilvl="0" w:tplc="94DEB550">
      <w:start w:val="1"/>
      <w:numFmt w:val="bullet"/>
      <w:lvlText w:val="●"/>
      <w:lvlJc w:val="left"/>
      <w:pPr>
        <w:ind w:left="720" w:hanging="360"/>
      </w:pPr>
    </w:lvl>
    <w:lvl w:ilvl="1" w:tplc="2D0458CE">
      <w:start w:val="1"/>
      <w:numFmt w:val="bullet"/>
      <w:lvlText w:val="○"/>
      <w:lvlJc w:val="left"/>
      <w:pPr>
        <w:ind w:left="1440" w:hanging="360"/>
      </w:pPr>
    </w:lvl>
    <w:lvl w:ilvl="2" w:tplc="6022678C">
      <w:start w:val="1"/>
      <w:numFmt w:val="bullet"/>
      <w:lvlText w:val="■"/>
      <w:lvlJc w:val="left"/>
      <w:pPr>
        <w:ind w:left="2160" w:hanging="360"/>
      </w:pPr>
    </w:lvl>
    <w:lvl w:ilvl="3" w:tplc="C8669D40">
      <w:start w:val="1"/>
      <w:numFmt w:val="bullet"/>
      <w:lvlText w:val="●"/>
      <w:lvlJc w:val="left"/>
      <w:pPr>
        <w:ind w:left="2880" w:hanging="360"/>
      </w:pPr>
    </w:lvl>
    <w:lvl w:ilvl="4" w:tplc="05E8FD14">
      <w:start w:val="1"/>
      <w:numFmt w:val="bullet"/>
      <w:lvlText w:val="○"/>
      <w:lvlJc w:val="left"/>
      <w:pPr>
        <w:ind w:left="3600" w:hanging="360"/>
      </w:pPr>
    </w:lvl>
    <w:lvl w:ilvl="5" w:tplc="7D3623E4">
      <w:start w:val="1"/>
      <w:numFmt w:val="bullet"/>
      <w:lvlText w:val="■"/>
      <w:lvlJc w:val="left"/>
      <w:pPr>
        <w:ind w:left="4320" w:hanging="360"/>
      </w:pPr>
    </w:lvl>
    <w:lvl w:ilvl="6" w:tplc="2E1AE8FA">
      <w:start w:val="1"/>
      <w:numFmt w:val="bullet"/>
      <w:lvlText w:val="●"/>
      <w:lvlJc w:val="left"/>
      <w:pPr>
        <w:ind w:left="5040" w:hanging="360"/>
      </w:pPr>
    </w:lvl>
    <w:lvl w:ilvl="7" w:tplc="6E982290">
      <w:start w:val="1"/>
      <w:numFmt w:val="bullet"/>
      <w:lvlText w:val="●"/>
      <w:lvlJc w:val="left"/>
      <w:pPr>
        <w:ind w:left="5760" w:hanging="360"/>
      </w:pPr>
    </w:lvl>
    <w:lvl w:ilvl="8" w:tplc="4CA8549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660"/>
    <w:rsid w:val="000135DE"/>
    <w:rsid w:val="0004659F"/>
    <w:rsid w:val="00067A2C"/>
    <w:rsid w:val="00096236"/>
    <w:rsid w:val="000C0813"/>
    <w:rsid w:val="000C46DA"/>
    <w:rsid w:val="001913E5"/>
    <w:rsid w:val="001A059B"/>
    <w:rsid w:val="001C1C8C"/>
    <w:rsid w:val="001D665E"/>
    <w:rsid w:val="002345F6"/>
    <w:rsid w:val="0026086B"/>
    <w:rsid w:val="002D7E81"/>
    <w:rsid w:val="002F7D05"/>
    <w:rsid w:val="00376AA0"/>
    <w:rsid w:val="003C42BF"/>
    <w:rsid w:val="003C73E5"/>
    <w:rsid w:val="003E740A"/>
    <w:rsid w:val="003F5E22"/>
    <w:rsid w:val="00411914"/>
    <w:rsid w:val="00412EA9"/>
    <w:rsid w:val="0043083C"/>
    <w:rsid w:val="00454AF4"/>
    <w:rsid w:val="0053752E"/>
    <w:rsid w:val="005478D5"/>
    <w:rsid w:val="005507F4"/>
    <w:rsid w:val="0058079E"/>
    <w:rsid w:val="005D552C"/>
    <w:rsid w:val="00615E12"/>
    <w:rsid w:val="006C5B81"/>
    <w:rsid w:val="006E09BE"/>
    <w:rsid w:val="00764464"/>
    <w:rsid w:val="007B288E"/>
    <w:rsid w:val="007F256B"/>
    <w:rsid w:val="00802A03"/>
    <w:rsid w:val="00815311"/>
    <w:rsid w:val="008209DC"/>
    <w:rsid w:val="00827914"/>
    <w:rsid w:val="008958DC"/>
    <w:rsid w:val="008B1790"/>
    <w:rsid w:val="008C62CB"/>
    <w:rsid w:val="008D6DD8"/>
    <w:rsid w:val="008E07FE"/>
    <w:rsid w:val="009409A9"/>
    <w:rsid w:val="00986A9A"/>
    <w:rsid w:val="00993436"/>
    <w:rsid w:val="00997FBD"/>
    <w:rsid w:val="009E2951"/>
    <w:rsid w:val="009E5F4F"/>
    <w:rsid w:val="00A34074"/>
    <w:rsid w:val="00A758A5"/>
    <w:rsid w:val="00A974BB"/>
    <w:rsid w:val="00AC5DBD"/>
    <w:rsid w:val="00AF30C9"/>
    <w:rsid w:val="00B2218F"/>
    <w:rsid w:val="00B4695B"/>
    <w:rsid w:val="00B55ABF"/>
    <w:rsid w:val="00B63E4D"/>
    <w:rsid w:val="00B905BD"/>
    <w:rsid w:val="00BF14B9"/>
    <w:rsid w:val="00C24C27"/>
    <w:rsid w:val="00C91596"/>
    <w:rsid w:val="00CB2660"/>
    <w:rsid w:val="00D041BA"/>
    <w:rsid w:val="00D11192"/>
    <w:rsid w:val="00DA6451"/>
    <w:rsid w:val="00DC4A19"/>
    <w:rsid w:val="00DD58E4"/>
    <w:rsid w:val="00DE7140"/>
    <w:rsid w:val="00EE408F"/>
    <w:rsid w:val="00F77722"/>
    <w:rsid w:val="00FB55F3"/>
    <w:rsid w:val="00FC3088"/>
    <w:rsid w:val="00FE782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743A"/>
  <w15:docId w15:val="{4A0B1763-C949-4A75-A2CB-213FC8D67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1D66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7165107">
      <w:bodyDiv w:val="1"/>
      <w:marLeft w:val="0"/>
      <w:marRight w:val="0"/>
      <w:marTop w:val="0"/>
      <w:marBottom w:val="0"/>
      <w:divBdr>
        <w:top w:val="none" w:sz="0" w:space="0" w:color="auto"/>
        <w:left w:val="none" w:sz="0" w:space="0" w:color="auto"/>
        <w:bottom w:val="none" w:sz="0" w:space="0" w:color="auto"/>
        <w:right w:val="none" w:sz="0" w:space="0" w:color="auto"/>
      </w:divBdr>
    </w:div>
    <w:div w:id="748313458">
      <w:bodyDiv w:val="1"/>
      <w:marLeft w:val="0"/>
      <w:marRight w:val="0"/>
      <w:marTop w:val="0"/>
      <w:marBottom w:val="0"/>
      <w:divBdr>
        <w:top w:val="none" w:sz="0" w:space="0" w:color="auto"/>
        <w:left w:val="none" w:sz="0" w:space="0" w:color="auto"/>
        <w:bottom w:val="none" w:sz="0" w:space="0" w:color="auto"/>
        <w:right w:val="none" w:sz="0" w:space="0" w:color="auto"/>
      </w:divBdr>
    </w:div>
    <w:div w:id="1398430207">
      <w:bodyDiv w:val="1"/>
      <w:marLeft w:val="0"/>
      <w:marRight w:val="0"/>
      <w:marTop w:val="0"/>
      <w:marBottom w:val="0"/>
      <w:divBdr>
        <w:top w:val="none" w:sz="0" w:space="0" w:color="auto"/>
        <w:left w:val="none" w:sz="0" w:space="0" w:color="auto"/>
        <w:bottom w:val="none" w:sz="0" w:space="0" w:color="auto"/>
        <w:right w:val="none" w:sz="0" w:space="0" w:color="auto"/>
      </w:divBdr>
    </w:div>
    <w:div w:id="14642284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TotalTime>
  <Pages>17</Pages>
  <Words>3332</Words>
  <Characters>18999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Bhuvnesh Dixit</cp:lastModifiedBy>
  <cp:revision>121</cp:revision>
  <dcterms:created xsi:type="dcterms:W3CDTF">2026-07-12T10:13:00Z</dcterms:created>
  <dcterms:modified xsi:type="dcterms:W3CDTF">2026-07-16T05:42:00Z</dcterms:modified>
</cp:coreProperties>
</file>