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1F3864"/>
          <w:sz w:val="52"/>
          <w:szCs w:val="52"/>
        </w:rPr>
        <w:t xml:space="preserve">Architecture Design Proposal</w:t>
      </w:r>
    </w:p>
    <w:p>
      <w:pPr>
        <w:spacing w:after="400" w:before="200"/>
        <w:jc w:val="center"/>
      </w:pPr>
      <w:r>
        <w:rPr>
          <w:rFonts w:ascii="Calibri" w:cs="Calibri" w:eastAsia="Calibri" w:hAnsi="Calibri"/>
          <w:color w:val="2E74B5"/>
          <w:sz w:val="30"/>
          <w:szCs w:val="30"/>
        </w:rPr>
        <w:t xml:space="preserve">Retail Media Intelligence Platform</w:t>
      </w:r>
    </w:p>
    <w:p>
      <w:pPr>
        <w:spacing w:after="40"/>
        <w:jc w:val="center"/>
      </w:pPr>
      <w:r>
        <w:rPr>
          <w:rFonts w:ascii="Calibri" w:cs="Calibri" w:eastAsia="Calibri" w:hAnsi="Calibri"/>
          <w:color w:val="595959"/>
          <w:sz w:val="22"/>
          <w:szCs w:val="22"/>
        </w:rPr>
        <w:t xml:space="preserve">Prepared by: Bhuvnetesh Dixit</w:t>
      </w:r>
    </w:p>
    <w:p>
      <w:pPr>
        <w:jc w:val="center"/>
      </w:pPr>
      <w:r>
        <w:rPr>
          <w:rFonts w:ascii="Calibri" w:cs="Calibri" w:eastAsia="Calibri" w:hAnsi="Calibri"/>
          <w:i/>
          <w:iCs/>
          <w:color w:val="595959"/>
          <w:sz w:val="20"/>
          <w:szCs w:val="20"/>
        </w:rPr>
        <w:t xml:space="preserve">Revision: includes consolidated gap-analysis updates — July 2026</w:t>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Table of Contents</w:t>
      </w:r>
    </w:p>
    <w:p>
      <w:pPr>
        <w:spacing w:after="100"/>
      </w:pPr>
      <w:r>
        <w:rPr>
          <w:rFonts w:ascii="Calibri" w:cs="Calibri" w:eastAsia="Calibri" w:hAnsi="Calibri"/>
          <w:sz w:val="22"/>
          <w:szCs w:val="22"/>
        </w:rPr>
        <w:t xml:space="preserve">1. Executive Summary</w:t>
      </w:r>
    </w:p>
    <w:p>
      <w:pPr>
        <w:spacing w:after="100"/>
      </w:pPr>
      <w:r>
        <w:rPr>
          <w:rFonts w:ascii="Calibri" w:cs="Calibri" w:eastAsia="Calibri" w:hAnsi="Calibri"/>
          <w:sz w:val="22"/>
          <w:szCs w:val="22"/>
        </w:rPr>
        <w:t xml:space="preserve">2. Business Context</w:t>
      </w:r>
    </w:p>
    <w:p>
      <w:pPr>
        <w:spacing w:after="100"/>
      </w:pPr>
      <w:r>
        <w:rPr>
          <w:rFonts w:ascii="Calibri" w:cs="Calibri" w:eastAsia="Calibri" w:hAnsi="Calibri"/>
          <w:sz w:val="22"/>
          <w:szCs w:val="22"/>
        </w:rPr>
        <w:t xml:space="preserve">3. Requirements Engineering</w:t>
      </w:r>
    </w:p>
    <w:p>
      <w:pPr>
        <w:spacing w:after="100"/>
      </w:pPr>
      <w:r>
        <w:rPr>
          <w:rFonts w:ascii="Calibri" w:cs="Calibri" w:eastAsia="Calibri" w:hAnsi="Calibri"/>
          <w:sz w:val="22"/>
          <w:szCs w:val="22"/>
        </w:rPr>
        <w:t xml:space="preserve">4. Capacity Planning</w:t>
      </w:r>
    </w:p>
    <w:p>
      <w:pPr>
        <w:spacing w:after="100"/>
      </w:pPr>
      <w:r>
        <w:rPr>
          <w:rFonts w:ascii="Calibri" w:cs="Calibri" w:eastAsia="Calibri" w:hAnsi="Calibri"/>
          <w:sz w:val="22"/>
          <w:szCs w:val="22"/>
        </w:rPr>
        <w:t xml:space="preserve">5. Architecture Principles</w:t>
      </w:r>
    </w:p>
    <w:p>
      <w:pPr>
        <w:spacing w:after="100"/>
      </w:pPr>
      <w:r>
        <w:rPr>
          <w:rFonts w:ascii="Calibri" w:cs="Calibri" w:eastAsia="Calibri" w:hAnsi="Calibri"/>
          <w:sz w:val="22"/>
          <w:szCs w:val="22"/>
        </w:rPr>
        <w:t xml:space="preserve">6. Solution Overview</w:t>
      </w:r>
    </w:p>
    <w:p>
      <w:pPr>
        <w:spacing w:after="100"/>
      </w:pPr>
      <w:r>
        <w:rPr>
          <w:rFonts w:ascii="Calibri" w:cs="Calibri" w:eastAsia="Calibri" w:hAnsi="Calibri"/>
          <w:sz w:val="22"/>
          <w:szCs w:val="22"/>
        </w:rPr>
        <w:t xml:space="preserve">7. End-to-End Data Flow</w:t>
      </w:r>
    </w:p>
    <w:p>
      <w:pPr>
        <w:spacing w:after="100"/>
      </w:pPr>
      <w:r>
        <w:rPr>
          <w:rFonts w:ascii="Calibri" w:cs="Calibri" w:eastAsia="Calibri" w:hAnsi="Calibri"/>
          <w:sz w:val="22"/>
          <w:szCs w:val="22"/>
        </w:rPr>
        <w:t xml:space="preserve">8. Deployment Architecture</w:t>
      </w:r>
    </w:p>
    <w:p>
      <w:pPr>
        <w:spacing w:after="100"/>
      </w:pPr>
      <w:r>
        <w:rPr>
          <w:rFonts w:ascii="Calibri" w:cs="Calibri" w:eastAsia="Calibri" w:hAnsi="Calibri"/>
          <w:sz w:val="22"/>
          <w:szCs w:val="22"/>
        </w:rPr>
        <w:t xml:space="preserve">9. Security Architecture</w:t>
      </w:r>
    </w:p>
    <w:p>
      <w:pPr>
        <w:spacing w:after="100"/>
      </w:pPr>
      <w:r>
        <w:rPr>
          <w:rFonts w:ascii="Calibri" w:cs="Calibri" w:eastAsia="Calibri" w:hAnsi="Calibri"/>
          <w:sz w:val="22"/>
          <w:szCs w:val="22"/>
        </w:rPr>
        <w:t xml:space="preserve">10. Data Architecture</w:t>
      </w:r>
    </w:p>
    <w:p>
      <w:pPr>
        <w:spacing w:after="100"/>
      </w:pPr>
      <w:r>
        <w:rPr>
          <w:rFonts w:ascii="Calibri" w:cs="Calibri" w:eastAsia="Calibri" w:hAnsi="Calibri"/>
          <w:sz w:val="22"/>
          <w:szCs w:val="22"/>
        </w:rPr>
        <w:t xml:space="preserve">11. Observability &amp; Reliability</w:t>
      </w:r>
    </w:p>
    <w:p>
      <w:pPr>
        <w:spacing w:after="100"/>
      </w:pPr>
      <w:r>
        <w:rPr>
          <w:rFonts w:ascii="Calibri" w:cs="Calibri" w:eastAsia="Calibri" w:hAnsi="Calibri"/>
          <w:sz w:val="22"/>
          <w:szCs w:val="22"/>
        </w:rPr>
        <w:t xml:space="preserve">12. Technology Decisions</w:t>
      </w:r>
    </w:p>
    <w:p>
      <w:pPr>
        <w:spacing w:after="100"/>
      </w:pPr>
      <w:r>
        <w:rPr>
          <w:rFonts w:ascii="Calibri" w:cs="Calibri" w:eastAsia="Calibri" w:hAnsi="Calibri"/>
          <w:sz w:val="22"/>
          <w:szCs w:val="22"/>
        </w:rPr>
        <w:t xml:space="preserve">13. Future Roadmap</w:t>
      </w:r>
    </w:p>
    <w:p>
      <w:pPr>
        <w:spacing w:after="100"/>
      </w:pPr>
      <w:r>
        <w:rPr>
          <w:rFonts w:ascii="Calibri" w:cs="Calibri" w:eastAsia="Calibri" w:hAnsi="Calibri"/>
          <w:sz w:val="22"/>
          <w:szCs w:val="22"/>
        </w:rPr>
        <w:t xml:space="preserve">14. Challenges and Trade-offs</w:t>
      </w:r>
    </w:p>
    <w:p>
      <w:pPr>
        <w:spacing w:after="100"/>
      </w:pPr>
      <w:r>
        <w:rPr>
          <w:rFonts w:ascii="Calibri" w:cs="Calibri" w:eastAsia="Calibri" w:hAnsi="Calibri"/>
          <w:sz w:val="22"/>
          <w:szCs w:val="22"/>
        </w:rPr>
        <w:t xml:space="preserve">15. Conclusion</w:t>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1. Executive Summary</w:t>
      </w:r>
    </w:p>
    <w:p>
      <w:pPr>
        <w:spacing w:after="160" w:line="276"/>
      </w:pPr>
      <w:r>
        <w:rPr>
          <w:rFonts w:ascii="Calibri" w:cs="Calibri" w:eastAsia="Calibri" w:hAnsi="Calibri"/>
          <w:b w:val="false"/>
          <w:bCs w:val="false"/>
          <w:i w:val="false"/>
          <w:iCs w:val="false"/>
          <w:sz w:val="22"/>
          <w:szCs w:val="22"/>
        </w:rPr>
        <w:t xml:space="preserve">This document presents the proposed architecture for a Retail Media Intelligence Platform that enables retailers to collect customer interaction events, process them in near real time, and provide campaign performance insights to advertisers.</w:t>
      </w:r>
    </w:p>
    <w:p>
      <w:pPr>
        <w:spacing w:after="160" w:line="276"/>
      </w:pPr>
      <w:r>
        <w:rPr>
          <w:rFonts w:ascii="Calibri" w:cs="Calibri" w:eastAsia="Calibri" w:hAnsi="Calibri"/>
          <w:b w:val="false"/>
          <w:bCs w:val="false"/>
          <w:i w:val="false"/>
          <w:iCs w:val="false"/>
          <w:sz w:val="22"/>
          <w:szCs w:val="22"/>
        </w:rPr>
        <w:t xml:space="preserve">The solution is designed as a cloud-native, multi-tenant platform on Google Cloud Platform (GCP) using .NET, SQL Server, Redis, and BigQuery. It combines synchronous APIs with asynchronous event processing to achieve scalability, resilience, and operational simplicity.</w:t>
      </w:r>
    </w:p>
    <w:p>
      <w:pPr>
        <w:pStyle w:val="Heading2"/>
        <w:spacing w:after="130" w:before="260"/>
      </w:pPr>
      <w:r>
        <w:rPr>
          <w:rFonts w:ascii="Calibri" w:cs="Calibri" w:eastAsia="Calibri" w:hAnsi="Calibri"/>
          <w:b/>
          <w:bCs/>
          <w:color w:val="2E74B5"/>
          <w:sz w:val="25"/>
          <w:szCs w:val="25"/>
        </w:rPr>
        <w:t xml:space="preserve">Key Objectives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500"/>
        <w:gridCol w:w="6820"/>
      </w:tblGrid>
      <w:tr>
        <w:trPr>
          <w:tblHeader/>
        </w:trPr>
        <w:tc>
          <w:tcPr>
            <w:tcW w:type="dxa" w:w="25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Objective</w:t>
            </w:r>
          </w:p>
        </w:tc>
        <w:tc>
          <w:tcPr>
            <w:tcW w:type="dxa" w:w="68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Description</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Scalability</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Handle high-volume event ingestion through horizontal scaling.</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Security</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Protect platform and customer data.</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Multi-Tenancy</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Support multiple retailers on a shared platform.</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Reliability</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Ensure continuous processing with fault tolerance.</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Extensibility</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Support future business growth with minimal redesign.</w:t>
            </w:r>
          </w:p>
        </w:tc>
      </w:tr>
    </w:tbl>
    <w:p>
      <w:pPr>
        <w:spacing w:after="160"/>
      </w:pPr>
    </w:p>
    <w:p>
      <w:pPr>
        <w:pStyle w:val="Heading2"/>
        <w:spacing w:after="130" w:before="260"/>
      </w:pPr>
      <w:r>
        <w:rPr>
          <w:rFonts w:ascii="Calibri" w:cs="Calibri" w:eastAsia="Calibri" w:hAnsi="Calibri"/>
          <w:b/>
          <w:bCs/>
          <w:color w:val="2E74B5"/>
          <w:sz w:val="25"/>
          <w:szCs w:val="25"/>
        </w:rPr>
        <w:t xml:space="preserve">Technology Stack</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500"/>
        <w:gridCol w:w="6820"/>
      </w:tblGrid>
      <w:tr>
        <w:trPr>
          <w:tblHeader/>
        </w:trPr>
        <w:tc>
          <w:tcPr>
            <w:tcW w:type="dxa" w:w="25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Layer</w:t>
            </w:r>
          </w:p>
        </w:tc>
        <w:tc>
          <w:tcPr>
            <w:tcW w:type="dxa" w:w="68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Technology</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Cloud</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Google Cloud Platform</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Backend</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.NET / C#</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Database</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Cache</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Analytics</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Messaging</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Google Pub/Sub</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Container Platform</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Google Kubernetes Engine</w:t>
            </w:r>
          </w:p>
        </w:tc>
      </w:tr>
    </w:tbl>
    <w:p>
      <w:pPr>
        <w:pStyle w:val="Heading2"/>
        <w:spacing w:after="130" w:before="260"/>
      </w:pPr>
      <w:r>
        <w:rPr>
          <w:rFonts w:ascii="Calibri" w:cs="Calibri" w:eastAsia="Calibri" w:hAnsi="Calibri"/>
          <w:b/>
          <w:bCs/>
          <w:color w:val="2E74B5"/>
          <w:sz w:val="25"/>
          <w:szCs w:val="25"/>
        </w:rPr>
        <w:t xml:space="preserve">High-Level Solution</w:t>
      </w:r>
    </w:p>
    <w:p>
      <w:pPr>
        <w:spacing w:after="240" w:before="120"/>
        <w:jc w:val="center"/>
      </w:pPr>
      <w:r>
        <w:drawing>
          <wp:inline distT="0" distB="0" distL="0" distR="0">
            <wp:extent cx="170497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04975" cy="3133725"/>
                    </a:xfrm>
                    <a:prstGeom prst="rect">
                      <a:avLst/>
                    </a:prstGeom>
                  </pic:spPr>
                </pic:pic>
              </a:graphicData>
            </a:graphic>
          </wp:inline>
        </w:drawing>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2. Business Context</w:t>
      </w:r>
    </w:p>
    <w:p>
      <w:pPr>
        <w:pStyle w:val="Heading2"/>
        <w:spacing w:after="130" w:before="260"/>
      </w:pPr>
      <w:r>
        <w:rPr>
          <w:rFonts w:ascii="Calibri" w:cs="Calibri" w:eastAsia="Calibri" w:hAnsi="Calibri"/>
          <w:b/>
          <w:bCs/>
          <w:color w:val="2E74B5"/>
          <w:sz w:val="25"/>
          <w:szCs w:val="25"/>
        </w:rPr>
        <w:t xml:space="preserve">Problem Statement</w:t>
      </w:r>
    </w:p>
    <w:p>
      <w:pPr>
        <w:spacing w:after="160" w:line="276"/>
      </w:pPr>
      <w:r>
        <w:rPr>
          <w:rFonts w:ascii="Calibri" w:cs="Calibri" w:eastAsia="Calibri" w:hAnsi="Calibri"/>
          <w:b w:val="false"/>
          <w:bCs w:val="false"/>
          <w:i w:val="false"/>
          <w:iCs w:val="false"/>
          <w:sz w:val="22"/>
          <w:szCs w:val="22"/>
        </w:rPr>
        <w:t xml:space="preserve">Retailers generate a large volume of customer interaction events through their digital channels. Processing these events efficiently is essential to provide advertisers with timely campaign insights and performance metrics.</w:t>
      </w:r>
    </w:p>
    <w:p>
      <w:pPr>
        <w:spacing w:after="160" w:line="276"/>
      </w:pPr>
      <w:r>
        <w:rPr>
          <w:rFonts w:ascii="Calibri" w:cs="Calibri" w:eastAsia="Calibri" w:hAnsi="Calibri"/>
          <w:b w:val="false"/>
          <w:bCs w:val="false"/>
          <w:i w:val="false"/>
          <w:iCs w:val="false"/>
          <w:sz w:val="22"/>
          <w:szCs w:val="22"/>
        </w:rPr>
        <w:t xml:space="preserve">The proposed platform addresses this need by collecting, processing, and exposing campaign analytics through secure APIs while supporting multiple retailers on a shared platform.</w:t>
      </w:r>
    </w:p>
    <w:p>
      <w:pPr>
        <w:pStyle w:val="Heading2"/>
        <w:spacing w:after="130" w:before="260"/>
      </w:pPr>
      <w:r>
        <w:rPr>
          <w:rFonts w:ascii="Calibri" w:cs="Calibri" w:eastAsia="Calibri" w:hAnsi="Calibri"/>
          <w:b/>
          <w:bCs/>
          <w:color w:val="2E74B5"/>
          <w:sz w:val="25"/>
          <w:szCs w:val="25"/>
        </w:rPr>
        <w:t xml:space="preserve">Business Scope</w:t>
      </w:r>
    </w:p>
    <w:p>
      <w:pPr>
        <w:pStyle w:val="Heading3"/>
        <w:spacing w:after="90" w:before="180"/>
      </w:pPr>
      <w:r>
        <w:rPr>
          <w:rFonts w:ascii="Calibri" w:cs="Calibri" w:eastAsia="Calibri" w:hAnsi="Calibri"/>
          <w:b/>
          <w:bCs/>
          <w:color w:val="1F3864"/>
          <w:sz w:val="22"/>
          <w:szCs w:val="22"/>
        </w:rPr>
        <w:t xml:space="preserve">In Scope</w:t>
      </w:r>
    </w:p>
    <w:p>
      <w:pPr>
        <w:pStyle w:val="ListParagraph"/>
        <w:numPr>
          <w:ilvl w:val="0"/>
          <w:numId w:val="2"/>
        </w:numPr>
        <w:spacing w:after="90" w:line="270"/>
      </w:pPr>
      <w:r>
        <w:rPr>
          <w:rFonts w:ascii="Calibri" w:cs="Calibri" w:eastAsia="Calibri" w:hAnsi="Calibri"/>
          <w:sz w:val="22"/>
          <w:szCs w:val="22"/>
        </w:rPr>
        <w:t xml:space="preserve">Customer event collection</w:t>
      </w:r>
    </w:p>
    <w:p>
      <w:pPr>
        <w:pStyle w:val="ListParagraph"/>
        <w:numPr>
          <w:ilvl w:val="0"/>
          <w:numId w:val="2"/>
        </w:numPr>
        <w:spacing w:after="90" w:line="270"/>
      </w:pPr>
      <w:r>
        <w:rPr>
          <w:rFonts w:ascii="Calibri" w:cs="Calibri" w:eastAsia="Calibri" w:hAnsi="Calibri"/>
          <w:sz w:val="22"/>
          <w:szCs w:val="22"/>
        </w:rPr>
        <w:t xml:space="preserve">Event processing</w:t>
      </w:r>
    </w:p>
    <w:p>
      <w:pPr>
        <w:pStyle w:val="ListParagraph"/>
        <w:numPr>
          <w:ilvl w:val="0"/>
          <w:numId w:val="2"/>
        </w:numPr>
        <w:spacing w:after="90" w:line="270"/>
      </w:pPr>
      <w:r>
        <w:rPr>
          <w:rFonts w:ascii="Calibri" w:cs="Calibri" w:eastAsia="Calibri" w:hAnsi="Calibri"/>
          <w:sz w:val="22"/>
          <w:szCs w:val="22"/>
        </w:rPr>
        <w:t xml:space="preserve">Campaign analytics</w:t>
      </w:r>
    </w:p>
    <w:p>
      <w:pPr>
        <w:pStyle w:val="ListParagraph"/>
        <w:numPr>
          <w:ilvl w:val="0"/>
          <w:numId w:val="2"/>
        </w:numPr>
        <w:spacing w:after="90" w:line="270"/>
      </w:pPr>
      <w:r>
        <w:rPr>
          <w:rFonts w:ascii="Calibri" w:cs="Calibri" w:eastAsia="Calibri" w:hAnsi="Calibri"/>
          <w:sz w:val="22"/>
          <w:szCs w:val="22"/>
        </w:rPr>
        <w:t xml:space="preserve">Secure APIs</w:t>
      </w:r>
    </w:p>
    <w:p>
      <w:pPr>
        <w:pStyle w:val="ListParagraph"/>
        <w:numPr>
          <w:ilvl w:val="0"/>
          <w:numId w:val="2"/>
        </w:numPr>
        <w:spacing w:after="90" w:line="270"/>
      </w:pPr>
      <w:r>
        <w:rPr>
          <w:rFonts w:ascii="Calibri" w:cs="Calibri" w:eastAsia="Calibri" w:hAnsi="Calibri"/>
          <w:sz w:val="22"/>
          <w:szCs w:val="22"/>
        </w:rPr>
        <w:t xml:space="preserve">Multi-tenant architecture</w:t>
      </w:r>
    </w:p>
    <w:p>
      <w:pPr>
        <w:pStyle w:val="ListParagraph"/>
        <w:numPr>
          <w:ilvl w:val="0"/>
          <w:numId w:val="2"/>
        </w:numPr>
        <w:spacing w:after="90" w:line="270"/>
      </w:pPr>
      <w:r>
        <w:rPr>
          <w:rFonts w:ascii="Calibri" w:cs="Calibri" w:eastAsia="Calibri" w:hAnsi="Calibri"/>
          <w:sz w:val="22"/>
          <w:szCs w:val="22"/>
        </w:rPr>
        <w:t xml:space="preserve">Cloud deployment</w:t>
      </w:r>
    </w:p>
    <w:p>
      <w:pPr>
        <w:spacing w:after="80"/>
      </w:pPr>
    </w:p>
    <w:p>
      <w:pPr>
        <w:pStyle w:val="Heading3"/>
        <w:spacing w:after="90" w:before="180"/>
      </w:pPr>
      <w:r>
        <w:rPr>
          <w:rFonts w:ascii="Calibri" w:cs="Calibri" w:eastAsia="Calibri" w:hAnsi="Calibri"/>
          <w:b/>
          <w:bCs/>
          <w:color w:val="1F3864"/>
          <w:sz w:val="22"/>
          <w:szCs w:val="22"/>
        </w:rPr>
        <w:t xml:space="preserve">Out of Scope</w:t>
      </w:r>
    </w:p>
    <w:p>
      <w:pPr>
        <w:pStyle w:val="ListParagraph"/>
        <w:numPr>
          <w:ilvl w:val="0"/>
          <w:numId w:val="2"/>
        </w:numPr>
        <w:spacing w:after="90" w:line="270"/>
      </w:pPr>
      <w:r>
        <w:rPr>
          <w:rFonts w:ascii="Calibri" w:cs="Calibri" w:eastAsia="Calibri" w:hAnsi="Calibri"/>
          <w:sz w:val="22"/>
          <w:szCs w:val="22"/>
        </w:rPr>
        <w:t xml:space="preserve">AI recommendations</w:t>
      </w:r>
    </w:p>
    <w:p>
      <w:pPr>
        <w:pStyle w:val="ListParagraph"/>
        <w:numPr>
          <w:ilvl w:val="0"/>
          <w:numId w:val="2"/>
        </w:numPr>
        <w:spacing w:after="90" w:line="270"/>
      </w:pPr>
      <w:r>
        <w:rPr>
          <w:rFonts w:ascii="Calibri" w:cs="Calibri" w:eastAsia="Calibri" w:hAnsi="Calibri"/>
          <w:sz w:val="22"/>
          <w:szCs w:val="22"/>
        </w:rPr>
        <w:t xml:space="preserve">Fraud detection</w:t>
      </w:r>
    </w:p>
    <w:p>
      <w:pPr>
        <w:pStyle w:val="ListParagraph"/>
        <w:numPr>
          <w:ilvl w:val="0"/>
          <w:numId w:val="2"/>
        </w:numPr>
        <w:spacing w:after="90" w:line="270"/>
      </w:pPr>
      <w:r>
        <w:rPr>
          <w:rFonts w:ascii="Calibri" w:cs="Calibri" w:eastAsia="Calibri" w:hAnsi="Calibri"/>
          <w:sz w:val="22"/>
          <w:szCs w:val="22"/>
        </w:rPr>
        <w:t xml:space="preserve">Real-time bidding</w:t>
      </w:r>
    </w:p>
    <w:p>
      <w:pPr>
        <w:pStyle w:val="ListParagraph"/>
        <w:numPr>
          <w:ilvl w:val="0"/>
          <w:numId w:val="2"/>
        </w:numPr>
        <w:spacing w:after="90" w:line="270"/>
      </w:pPr>
      <w:r>
        <w:rPr>
          <w:rFonts w:ascii="Calibri" w:cs="Calibri" w:eastAsia="Calibri" w:hAnsi="Calibri"/>
          <w:sz w:val="22"/>
          <w:szCs w:val="22"/>
        </w:rPr>
        <w:t xml:space="preserve">Multi-region deployment</w:t>
      </w:r>
    </w:p>
    <w:p>
      <w:pPr>
        <w:spacing w:after="160"/>
      </w:pPr>
    </w:p>
    <w:p>
      <w:pPr>
        <w:pStyle w:val="Heading2"/>
        <w:spacing w:after="130" w:before="260"/>
      </w:pPr>
      <w:r>
        <w:rPr>
          <w:rFonts w:ascii="Calibri" w:cs="Calibri" w:eastAsia="Calibri" w:hAnsi="Calibri"/>
          <w:b/>
          <w:bCs/>
          <w:color w:val="2E74B5"/>
          <w:sz w:val="25"/>
          <w:szCs w:val="25"/>
        </w:rPr>
        <w:t xml:space="preserve">Stakeholders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800"/>
        <w:gridCol w:w="6520"/>
      </w:tblGrid>
      <w:tr>
        <w:trPr>
          <w:tblHeader/>
        </w:trPr>
        <w:tc>
          <w:tcPr>
            <w:tcW w:type="dxa" w:w="28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Stakeholder</w:t>
            </w:r>
          </w:p>
        </w:tc>
        <w:tc>
          <w:tcPr>
            <w:tcW w:type="dxa" w:w="65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Responsibility</w:t>
            </w:r>
          </w:p>
        </w:tc>
      </w:tr>
      <w:tr>
        <w:tc>
          <w:tcPr>
            <w:tcW w:type="dxa" w:w="28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Retailer</w:t>
            </w:r>
          </w:p>
        </w:tc>
        <w:tc>
          <w:tcPr>
            <w:tcW w:type="dxa" w:w="65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Generates customer events</w:t>
            </w:r>
          </w:p>
        </w:tc>
      </w:tr>
      <w:tr>
        <w:tc>
          <w:tcPr>
            <w:tcW w:type="dxa" w:w="28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Advertiser</w:t>
            </w:r>
          </w:p>
        </w:tc>
        <w:tc>
          <w:tcPr>
            <w:tcW w:type="dxa" w:w="65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Consumes campaign insights</w:t>
            </w:r>
          </w:p>
        </w:tc>
      </w:tr>
      <w:tr>
        <w:tc>
          <w:tcPr>
            <w:tcW w:type="dxa" w:w="28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Platform Administrator</w:t>
            </w:r>
          </w:p>
        </w:tc>
        <w:tc>
          <w:tcPr>
            <w:tcW w:type="dxa" w:w="65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Operates the platform</w:t>
            </w:r>
          </w:p>
        </w:tc>
      </w:tr>
      <w:tr>
        <w:tc>
          <w:tcPr>
            <w:tcW w:type="dxa" w:w="28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Engineering Team</w:t>
            </w:r>
          </w:p>
        </w:tc>
        <w:tc>
          <w:tcPr>
            <w:tcW w:type="dxa" w:w="65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Develops and supports the solution</w:t>
            </w:r>
          </w:p>
        </w:tc>
      </w:tr>
    </w:tbl>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3. Requirements Engineering</w:t>
      </w:r>
    </w:p>
    <w:p>
      <w:pPr>
        <w:pStyle w:val="Heading2"/>
        <w:spacing w:after="130" w:before="260"/>
      </w:pPr>
      <w:r>
        <w:rPr>
          <w:rFonts w:ascii="Calibri" w:cs="Calibri" w:eastAsia="Calibri" w:hAnsi="Calibri"/>
          <w:b/>
          <w:bCs/>
          <w:color w:val="2E74B5"/>
          <w:sz w:val="25"/>
          <w:szCs w:val="25"/>
        </w:rPr>
        <w:t xml:space="preserve">Functional Requirements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700"/>
        <w:gridCol w:w="8620"/>
      </w:tblGrid>
      <w:tr>
        <w:trPr>
          <w:tblHeader/>
        </w:trPr>
        <w:tc>
          <w:tcPr>
            <w:tcW w:type="dxa" w:w="7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w:t>
            </w:r>
          </w:p>
        </w:tc>
        <w:tc>
          <w:tcPr>
            <w:tcW w:type="dxa" w:w="86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Requirement</w:t>
            </w:r>
          </w:p>
        </w:tc>
      </w:tr>
      <w:tr>
        <w:tc>
          <w:tcPr>
            <w:tcW w:type="dxa" w:w="7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1</w:t>
            </w:r>
          </w:p>
        </w:tc>
        <w:tc>
          <w:tcPr>
            <w:tcW w:type="dxa" w:w="86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Capture customer interaction events.</w:t>
            </w:r>
          </w:p>
        </w:tc>
      </w:tr>
      <w:tr>
        <w:tc>
          <w:tcPr>
            <w:tcW w:type="dxa" w:w="7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2</w:t>
            </w:r>
          </w:p>
        </w:tc>
        <w:tc>
          <w:tcPr>
            <w:tcW w:type="dxa" w:w="86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Process events in near real time.</w:t>
            </w:r>
          </w:p>
        </w:tc>
      </w:tr>
      <w:tr>
        <w:tc>
          <w:tcPr>
            <w:tcW w:type="dxa" w:w="7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3</w:t>
            </w:r>
          </w:p>
        </w:tc>
        <w:tc>
          <w:tcPr>
            <w:tcW w:type="dxa" w:w="86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Aggregate campaign metrics.</w:t>
            </w:r>
          </w:p>
        </w:tc>
      </w:tr>
      <w:tr>
        <w:tc>
          <w:tcPr>
            <w:tcW w:type="dxa" w:w="7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4</w:t>
            </w:r>
          </w:p>
        </w:tc>
        <w:tc>
          <w:tcPr>
            <w:tcW w:type="dxa" w:w="86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Expose campaign insights through secure REST APIs.</w:t>
            </w:r>
          </w:p>
        </w:tc>
      </w:tr>
      <w:tr>
        <w:tc>
          <w:tcPr>
            <w:tcW w:type="dxa" w:w="7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5</w:t>
            </w:r>
          </w:p>
        </w:tc>
        <w:tc>
          <w:tcPr>
            <w:tcW w:type="dxa" w:w="86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Support multiple retailers (multi-tenant).</w:t>
            </w:r>
          </w:p>
        </w:tc>
      </w:tr>
      <w:tr>
        <w:tc>
          <w:tcPr>
            <w:tcW w:type="dxa" w:w="7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6</w:t>
            </w:r>
          </w:p>
        </w:tc>
        <w:tc>
          <w:tcPr>
            <w:tcW w:type="dxa" w:w="86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Store operational and analytical data separately.</w:t>
            </w:r>
          </w:p>
        </w:tc>
      </w:tr>
    </w:tbl>
    <w:p>
      <w:pPr>
        <w:spacing w:after="160"/>
      </w:pPr>
    </w:p>
    <w:p>
      <w:pPr>
        <w:pStyle w:val="Heading2"/>
        <w:spacing w:after="130" w:before="260"/>
      </w:pPr>
      <w:r>
        <w:rPr>
          <w:rFonts w:ascii="Calibri" w:cs="Calibri" w:eastAsia="Calibri" w:hAnsi="Calibri"/>
          <w:b/>
          <w:bCs/>
          <w:color w:val="2E74B5"/>
          <w:sz w:val="25"/>
          <w:szCs w:val="25"/>
        </w:rPr>
        <w:t xml:space="preserve">Non-Functional Requirements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500"/>
        <w:gridCol w:w="6820"/>
      </w:tblGrid>
      <w:tr>
        <w:trPr>
          <w:tblHeader/>
        </w:trPr>
        <w:tc>
          <w:tcPr>
            <w:tcW w:type="dxa" w:w="25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Category</w:t>
            </w:r>
          </w:p>
        </w:tc>
        <w:tc>
          <w:tcPr>
            <w:tcW w:type="dxa" w:w="68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Requirement</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Scalability</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Independently scale ingestion, processing and API layers.</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Availability</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Highly available platform with no single point of failure.</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Performance</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Low latency for event ingestion and dashboard APIs.</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Security</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Authentication, authorization and encryption.</w:t>
            </w:r>
          </w:p>
        </w:tc>
      </w:tr>
      <w:tr>
        <w:tc>
          <w:tcPr>
            <w:tcW w:type="dxa" w:w="25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Observability</w:t>
            </w:r>
          </w:p>
        </w:tc>
        <w:tc>
          <w:tcPr>
            <w:tcW w:type="dxa" w:w="68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Centralized logging, monitoring and tracing.</w:t>
            </w:r>
          </w:p>
        </w:tc>
      </w:tr>
      <w:tr>
        <w:tc>
          <w:tcPr>
            <w:tcW w:type="dxa" w:w="25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Maintainability</w:t>
            </w:r>
          </w:p>
        </w:tc>
        <w:tc>
          <w:tcPr>
            <w:tcW w:type="dxa" w:w="68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Modular architecture with clear service responsibilities.</w:t>
            </w:r>
          </w:p>
        </w:tc>
      </w:tr>
    </w:tbl>
    <w:p>
      <w:pPr>
        <w:spacing w:after="160"/>
      </w:pPr>
    </w:p>
    <w:p>
      <w:pPr>
        <w:pStyle w:val="Heading2"/>
        <w:spacing w:after="130" w:before="260"/>
      </w:pPr>
      <w:r>
        <w:rPr>
          <w:rFonts w:ascii="Calibri" w:cs="Calibri" w:eastAsia="Calibri" w:hAnsi="Calibri"/>
          <w:b/>
          <w:bCs/>
          <w:color w:val="2E74B5"/>
          <w:sz w:val="25"/>
          <w:szCs w:val="25"/>
        </w:rPr>
        <w:t xml:space="preserve">Assumptions</w:t>
      </w:r>
    </w:p>
    <w:p>
      <w:pPr>
        <w:pStyle w:val="ListParagraph"/>
        <w:numPr>
          <w:ilvl w:val="0"/>
          <w:numId w:val="2"/>
        </w:numPr>
        <w:spacing w:after="90" w:line="270"/>
      </w:pPr>
      <w:r>
        <w:rPr>
          <w:rFonts w:ascii="Calibri" w:cs="Calibri" w:eastAsia="Calibri" w:hAnsi="Calibri"/>
          <w:sz w:val="22"/>
          <w:szCs w:val="22"/>
        </w:rPr>
        <w:t xml:space="preserve">Retailers integrate using REST APIs or SDKs.</w:t>
      </w:r>
    </w:p>
    <w:p>
      <w:pPr>
        <w:pStyle w:val="ListParagraph"/>
        <w:numPr>
          <w:ilvl w:val="0"/>
          <w:numId w:val="2"/>
        </w:numPr>
        <w:spacing w:after="90" w:line="270"/>
      </w:pPr>
      <w:r>
        <w:rPr>
          <w:rFonts w:ascii="Calibri" w:cs="Calibri" w:eastAsia="Calibri" w:hAnsi="Calibri"/>
          <w:sz w:val="22"/>
          <w:szCs w:val="22"/>
        </w:rPr>
        <w:t xml:space="preserve">Customer events are immutable.</w:t>
      </w:r>
    </w:p>
    <w:p>
      <w:pPr>
        <w:pStyle w:val="ListParagraph"/>
        <w:numPr>
          <w:ilvl w:val="0"/>
          <w:numId w:val="2"/>
        </w:numPr>
        <w:spacing w:after="90" w:line="270"/>
      </w:pPr>
      <w:r>
        <w:rPr>
          <w:rFonts w:ascii="Calibri" w:cs="Calibri" w:eastAsia="Calibri" w:hAnsi="Calibri"/>
          <w:sz w:val="22"/>
          <w:szCs w:val="22"/>
        </w:rPr>
        <w:t xml:space="preserve">Every request contains tenant information.</w:t>
      </w:r>
    </w:p>
    <w:p>
      <w:pPr>
        <w:pStyle w:val="ListParagraph"/>
        <w:numPr>
          <w:ilvl w:val="0"/>
          <w:numId w:val="2"/>
        </w:numPr>
        <w:spacing w:after="90" w:line="270"/>
      </w:pPr>
      <w:r>
        <w:rPr>
          <w:rFonts w:ascii="Calibri" w:cs="Calibri" w:eastAsia="Calibri" w:hAnsi="Calibri"/>
          <w:sz w:val="22"/>
          <w:szCs w:val="22"/>
        </w:rPr>
        <w:t xml:space="preserve">Near real-time processing is sufficient for business reporting.</w:t>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4. Capacity Planning</w:t>
      </w:r>
    </w:p>
    <w:p>
      <w:pPr>
        <w:spacing w:after="160" w:line="276"/>
      </w:pPr>
      <w:r>
        <w:rPr>
          <w:rFonts w:ascii="Calibri" w:cs="Calibri" w:eastAsia="Calibri" w:hAnsi="Calibri"/>
          <w:b w:val="false"/>
          <w:bCs w:val="false"/>
          <w:i w:val="false"/>
          <w:iCs w:val="false"/>
          <w:sz w:val="22"/>
          <w:szCs w:val="22"/>
        </w:rPr>
        <w:t xml:space="preserve">The following engineering assumptions are used to guide the architecture and infrastructure design.</w:t>
      </w:r>
    </w:p>
    <w:p>
      <w:pPr>
        <w:pStyle w:val="Heading2"/>
        <w:spacing w:after="130" w:before="260"/>
      </w:pPr>
      <w:r>
        <w:rPr>
          <w:rFonts w:ascii="Calibri" w:cs="Calibri" w:eastAsia="Calibri" w:hAnsi="Calibri"/>
          <w:b/>
          <w:bCs/>
          <w:color w:val="2E74B5"/>
          <w:sz w:val="25"/>
          <w:szCs w:val="25"/>
        </w:rPr>
        <w:t xml:space="preserve">Capacity Assumptions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3200"/>
        <w:gridCol w:w="6120"/>
      </w:tblGrid>
      <w:tr>
        <w:trPr>
          <w:tblHeader/>
        </w:trPr>
        <w:tc>
          <w:tcPr>
            <w:tcW w:type="dxa" w:w="32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Metric</w:t>
            </w:r>
          </w:p>
        </w:tc>
        <w:tc>
          <w:tcPr>
            <w:tcW w:type="dxa" w:w="61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Value</w:t>
            </w:r>
          </w:p>
        </w:tc>
      </w:tr>
      <w:tr>
        <w:tc>
          <w:tcPr>
            <w:tcW w:type="dxa" w:w="32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Daily Active Users</w:t>
            </w:r>
          </w:p>
        </w:tc>
        <w:tc>
          <w:tcPr>
            <w:tcW w:type="dxa" w:w="6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~50 Million</w:t>
            </w:r>
          </w:p>
        </w:tc>
      </w:tr>
      <w:tr>
        <w:tc>
          <w:tcPr>
            <w:tcW w:type="dxa" w:w="32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Events per User</w:t>
            </w:r>
          </w:p>
        </w:tc>
        <w:tc>
          <w:tcPr>
            <w:tcW w:type="dxa" w:w="6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40</w:t>
            </w:r>
          </w:p>
        </w:tc>
      </w:tr>
      <w:tr>
        <w:tc>
          <w:tcPr>
            <w:tcW w:type="dxa" w:w="32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Daily Events</w:t>
            </w:r>
          </w:p>
        </w:tc>
        <w:tc>
          <w:tcPr>
            <w:tcW w:type="dxa" w:w="6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~2 Billion</w:t>
            </w:r>
          </w:p>
        </w:tc>
      </w:tr>
      <w:tr>
        <w:tc>
          <w:tcPr>
            <w:tcW w:type="dxa" w:w="32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Average Throughput</w:t>
            </w:r>
          </w:p>
        </w:tc>
        <w:tc>
          <w:tcPr>
            <w:tcW w:type="dxa" w:w="6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~23K events/sec</w:t>
            </w:r>
          </w:p>
        </w:tc>
      </w:tr>
      <w:tr>
        <w:tc>
          <w:tcPr>
            <w:tcW w:type="dxa" w:w="32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Peak Throughput</w:t>
            </w:r>
          </w:p>
        </w:tc>
        <w:tc>
          <w:tcPr>
            <w:tcW w:type="dxa" w:w="6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~230K events/sec</w:t>
            </w:r>
          </w:p>
        </w:tc>
      </w:tr>
      <w:tr>
        <w:tc>
          <w:tcPr>
            <w:tcW w:type="dxa" w:w="32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Average Event Size</w:t>
            </w:r>
          </w:p>
        </w:tc>
        <w:tc>
          <w:tcPr>
            <w:tcW w:type="dxa" w:w="6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1 KB</w:t>
            </w:r>
          </w:p>
        </w:tc>
      </w:tr>
      <w:tr>
        <w:tc>
          <w:tcPr>
            <w:tcW w:type="dxa" w:w="32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Read / Write Ratio</w:t>
            </w:r>
          </w:p>
        </w:tc>
        <w:tc>
          <w:tcPr>
            <w:tcW w:type="dxa" w:w="6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90 : 10</w:t>
            </w:r>
          </w:p>
        </w:tc>
      </w:tr>
    </w:tbl>
    <w:p>
      <w:pPr>
        <w:spacing w:after="160"/>
      </w:pPr>
    </w:p>
    <w:p>
      <w:pPr>
        <w:pStyle w:val="Heading2"/>
        <w:spacing w:after="130" w:before="260"/>
      </w:pPr>
      <w:r>
        <w:rPr>
          <w:rFonts w:ascii="Calibri" w:cs="Calibri" w:eastAsia="Calibri" w:hAnsi="Calibri"/>
          <w:b/>
          <w:bCs/>
          <w:color w:val="2E74B5"/>
          <w:sz w:val="25"/>
          <w:szCs w:val="25"/>
        </w:rPr>
        <w:t xml:space="preserve">Workload Characteristics</w:t>
      </w:r>
    </w:p>
    <w:p>
      <w:pPr>
        <w:spacing w:after="160" w:line="276"/>
      </w:pPr>
      <w:r>
        <w:rPr>
          <w:rFonts w:ascii="Calibri" w:cs="Calibri" w:eastAsia="Calibri" w:hAnsi="Calibri"/>
          <w:b w:val="false"/>
          <w:bCs w:val="false"/>
          <w:i w:val="false"/>
          <w:iCs w:val="false"/>
          <w:sz w:val="22"/>
          <w:szCs w:val="22"/>
        </w:rPr>
        <w:t xml:space="preserve">Although the platform ingests a large volume of customer interaction events, the overall workload is predominantly read-heavy.</w:t>
      </w:r>
    </w:p>
    <w:p>
      <w:pPr>
        <w:spacing w:after="160" w:line="276"/>
      </w:pPr>
      <w:r>
        <w:rPr>
          <w:rFonts w:ascii="Calibri" w:cs="Calibri" w:eastAsia="Calibri" w:hAnsi="Calibri"/>
          <w:b w:val="false"/>
          <w:bCs w:val="false"/>
          <w:i w:val="false"/>
          <w:iCs w:val="false"/>
          <w:sz w:val="22"/>
          <w:szCs w:val="22"/>
        </w:rPr>
        <w:t xml:space="preserve">Each customer interaction generates a single write operation, while campaign dashboards, retailer portals, and advertiser reports repeatedly query aggregated metrics throughout the day. As a result, the same dataset is read significantly more often than it is written. This workload profile directly influences the architectural design.</w:t>
      </w:r>
    </w:p>
    <w:p>
      <w:pPr>
        <w:pStyle w:val="Heading2"/>
        <w:spacing w:after="130" w:before="260"/>
      </w:pPr>
      <w:r>
        <w:rPr>
          <w:rFonts w:ascii="Calibri" w:cs="Calibri" w:eastAsia="Calibri" w:hAnsi="Calibri"/>
          <w:b/>
          <w:bCs/>
          <w:color w:val="2E74B5"/>
          <w:sz w:val="25"/>
          <w:szCs w:val="25"/>
        </w:rPr>
        <w:t xml:space="preserve">Design Impact</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900"/>
        <w:gridCol w:w="6420"/>
      </w:tblGrid>
      <w:tr>
        <w:trPr>
          <w:tblHeader/>
        </w:trPr>
        <w:tc>
          <w:tcPr>
            <w:tcW w:type="dxa" w:w="29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Assumption</w:t>
            </w:r>
          </w:p>
        </w:tc>
        <w:tc>
          <w:tcPr>
            <w:tcW w:type="dxa" w:w="64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Architecture Decision</w:t>
            </w:r>
          </w:p>
        </w:tc>
      </w:tr>
      <w:tr>
        <w:tc>
          <w:tcPr>
            <w:tcW w:type="dxa" w:w="2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High Event Volume</w:t>
            </w:r>
          </w:p>
        </w:tc>
        <w:tc>
          <w:tcPr>
            <w:tcW w:type="dxa" w:w="64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Asynchronous event processing using Google Pub/Sub</w:t>
            </w:r>
          </w:p>
        </w:tc>
      </w:tr>
      <w:tr>
        <w:tc>
          <w:tcPr>
            <w:tcW w:type="dxa" w:w="29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Peak Traffic</w:t>
            </w:r>
          </w:p>
        </w:tc>
        <w:tc>
          <w:tcPr>
            <w:tcW w:type="dxa" w:w="64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Horizontal auto scaling</w:t>
            </w:r>
          </w:p>
        </w:tc>
      </w:tr>
      <w:tr>
        <w:tc>
          <w:tcPr>
            <w:tcW w:type="dxa" w:w="2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Read-Heavy Workload</w:t>
            </w:r>
          </w:p>
        </w:tc>
        <w:tc>
          <w:tcPr>
            <w:tcW w:type="dxa" w:w="64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Redis used as the primary read cache</w:t>
            </w:r>
          </w:p>
        </w:tc>
      </w:tr>
      <w:tr>
        <w:tc>
          <w:tcPr>
            <w:tcW w:type="dxa" w:w="29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Historical Reporting</w:t>
            </w:r>
          </w:p>
        </w:tc>
        <w:tc>
          <w:tcPr>
            <w:tcW w:type="dxa" w:w="64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BigQuery stores analytical data</w:t>
            </w:r>
          </w:p>
        </w:tc>
      </w:tr>
      <w:tr>
        <w:tc>
          <w:tcPr>
            <w:tcW w:type="dxa" w:w="2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Independent Scaling</w:t>
            </w:r>
          </w:p>
        </w:tc>
        <w:tc>
          <w:tcPr>
            <w:tcW w:type="dxa" w:w="64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Command and query workloads are scaled independently</w:t>
            </w:r>
          </w:p>
        </w:tc>
      </w:tr>
    </w:tbl>
    <w:p>
      <w:pPr>
        <w:pStyle w:val="Heading2"/>
        <w:spacing w:after="130" w:before="260"/>
      </w:pPr>
      <w:r>
        <w:rPr>
          <w:rFonts w:ascii="Calibri" w:cs="Calibri" w:eastAsia="Calibri" w:hAnsi="Calibri"/>
          <w:b/>
          <w:bCs/>
          <w:color w:val="2E74B5"/>
          <w:sz w:val="25"/>
          <w:szCs w:val="25"/>
        </w:rPr>
        <w:t xml:space="preserve">Capacity Overview</w:t>
      </w:r>
    </w:p>
    <w:p>
      <w:pPr>
        <w:spacing w:after="240" w:before="120"/>
        <w:jc w:val="center"/>
      </w:pPr>
      <w:r>
        <w:drawing>
          <wp:inline distT="0" distB="0" distL="0" distR="0">
            <wp:extent cx="21145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14550" cy="3105150"/>
                    </a:xfrm>
                    <a:prstGeom prst="rect">
                      <a:avLst/>
                    </a:prstGeom>
                  </pic:spPr>
                </pic:pic>
              </a:graphicData>
            </a:graphic>
          </wp:inline>
        </w:drawing>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5. Architecture Principles</w:t>
      </w:r>
    </w:p>
    <w:p>
      <w:pPr>
        <w:spacing w:after="160" w:line="276"/>
      </w:pPr>
      <w:r>
        <w:rPr>
          <w:rFonts w:ascii="Calibri" w:cs="Calibri" w:eastAsia="Calibri" w:hAnsi="Calibri"/>
          <w:b w:val="false"/>
          <w:bCs w:val="false"/>
          <w:i w:val="false"/>
          <w:iCs w:val="false"/>
          <w:sz w:val="22"/>
          <w:szCs w:val="22"/>
        </w:rPr>
        <w:t xml:space="preserve">The proposed solution is designed using a small set of architectural principles that guide technology selection and system evolution.</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Principle</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Description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Cloud Native</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Leverage managed cloud services and containerized workloads.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Event-Driven</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Process high-volume events asynchronously.</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Multi-Tenant</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Support multiple retailers on a shared platform with tenant isolation.</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Security by Design</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Apply authentication, authorization and encryption across all layers.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Scalability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Independently scale platform components based on workload.</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Observability</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Enable centralized monitoring, logging and tracing.</w:t>
            </w:r>
          </w:p>
        </w:tc>
      </w:tr>
    </w:tbl>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6. Solution Overview</w:t>
      </w:r>
    </w:p>
    <w:p>
      <w:pPr>
        <w:spacing w:after="160" w:line="276"/>
      </w:pPr>
      <w:r>
        <w:rPr>
          <w:rFonts w:ascii="Calibri" w:cs="Calibri" w:eastAsia="Calibri" w:hAnsi="Calibri"/>
          <w:b w:val="false"/>
          <w:bCs w:val="false"/>
          <w:i w:val="false"/>
          <w:iCs w:val="false"/>
          <w:sz w:val="22"/>
          <w:szCs w:val="22"/>
        </w:rPr>
        <w:t xml:space="preserve">The platform follows a hybrid architecture where synchronous APIs are used for client interactions, while asynchronous messaging is used for event processing. This separation improves scalability, resilience and operational flexibility.</w:t>
      </w:r>
    </w:p>
    <w:p>
      <w:pPr>
        <w:pStyle w:val="Heading2"/>
        <w:spacing w:after="130" w:before="260"/>
      </w:pPr>
      <w:r>
        <w:rPr>
          <w:rFonts w:ascii="Calibri" w:cs="Calibri" w:eastAsia="Calibri" w:hAnsi="Calibri"/>
          <w:b/>
          <w:bCs/>
          <w:color w:val="2E74B5"/>
          <w:sz w:val="25"/>
          <w:szCs w:val="25"/>
        </w:rPr>
        <w:t xml:space="preserve">Core Components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Component</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Responsibility</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API Gateway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Secure entry point and request routing</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 Collector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Validate event schema, resolve tenant, generate correlation ID, validate authentication context, normalize payloads, enforce idempotency, publish events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Pub/Sub</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Reliable event transport</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 Processor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Process and enrich events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Metrics Aggregator</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Calculate campaign metrics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Operational data</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Read cache</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Historical analytics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Insights API</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Expose campaign insights. Serves two query modes: real-time queries read live, atomically-maintained counters directly from Redis, current as of the last processed event with no cache expiry; if a counter is not yet present in Redis (for example immediately after a cold start, before recovery completes), the query falls back to the last durable snapshot in the analytics store. Historical queries (with a 'from' and 'to' date range) are routed to BigQuery, which holds the full event history. The routing decision is made inside the query handler, which maps HTTP parameters to a query object without the controller being aware of which store is used.</w:t>
            </w:r>
          </w:p>
        </w:tc>
      </w:tr>
    </w:tbl>
    <w:p>
      <w:pPr>
        <w:pStyle w:val="Heading2"/>
        <w:spacing w:after="130" w:before="260"/>
      </w:pPr>
      <w:r>
        <w:rPr>
          <w:rFonts w:ascii="Calibri" w:cs="Calibri" w:eastAsia="Calibri" w:hAnsi="Calibri"/>
          <w:b/>
          <w:bCs/>
          <w:color w:val="2E74B5"/>
          <w:sz w:val="25"/>
          <w:szCs w:val="25"/>
        </w:rPr>
        <w:t xml:space="preserve">Key Design Decisions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Decision</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Reason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API Gateway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Centralized security and routing.</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 Collector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Keep ingestion lightweight and validate requests.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Pub/Sub</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Decouple ingestion from processing.</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Transactional system of record.</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Low-latency dashboard responses.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Dedicated analytical processing.</w:t>
            </w:r>
          </w:p>
        </w:tc>
      </w:tr>
    </w:tbl>
    <w:p>
      <w:pPr>
        <w:pStyle w:val="Heading2"/>
        <w:spacing w:after="130" w:before="260"/>
      </w:pPr>
      <w:r>
        <w:rPr>
          <w:rFonts w:ascii="Calibri" w:cs="Calibri" w:eastAsia="Calibri" w:hAnsi="Calibri"/>
          <w:b/>
          <w:bCs/>
          <w:color w:val="2E74B5"/>
          <w:sz w:val="25"/>
          <w:szCs w:val="25"/>
        </w:rPr>
        <w:t xml:space="preserve">Solution Overview Diagram</w:t>
      </w:r>
    </w:p>
    <w:p>
      <w:pPr>
        <w:spacing w:after="240" w:before="120"/>
        <w:jc w:val="center"/>
      </w:pPr>
      <w:r>
        <w:drawing>
          <wp:inline distT="0" distB="0" distL="0" distR="0">
            <wp:extent cx="3200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00400" cy="5848350"/>
                    </a:xfrm>
                    <a:prstGeom prst="rect">
                      <a:avLst/>
                    </a:prstGeom>
                  </pic:spPr>
                </pic:pic>
              </a:graphicData>
            </a:graphic>
          </wp:inline>
        </w:drawing>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7. End-to-End Data Flow</w:t>
      </w:r>
    </w:p>
    <w:p>
      <w:pPr>
        <w:spacing w:after="160" w:line="276"/>
      </w:pPr>
      <w:r>
        <w:rPr>
          <w:rFonts w:ascii="Calibri" w:cs="Calibri" w:eastAsia="Calibri" w:hAnsi="Calibri"/>
          <w:b w:val="false"/>
          <w:bCs w:val="false"/>
          <w:i w:val="false"/>
          <w:iCs w:val="false"/>
          <w:sz w:val="22"/>
          <w:szCs w:val="22"/>
        </w:rPr>
        <w:t xml:space="preserve">The platform captures customer interactions from retailer applications, validates each request, processes events asynchronously, and generates campaign insights that are exposed through secure APIs.</w:t>
      </w:r>
    </w:p>
    <w:p>
      <w:pPr>
        <w:pStyle w:val="Heading2"/>
        <w:spacing w:after="130" w:before="260"/>
      </w:pPr>
      <w:r>
        <w:rPr>
          <w:rFonts w:ascii="Calibri" w:cs="Calibri" w:eastAsia="Calibri" w:hAnsi="Calibri"/>
          <w:b/>
          <w:bCs/>
          <w:color w:val="2E74B5"/>
          <w:sz w:val="25"/>
          <w:szCs w:val="25"/>
        </w:rPr>
        <w:t xml:space="preserve">Processing Flow</w:t>
      </w:r>
    </w:p>
    <w:p>
      <w:pPr>
        <w:spacing w:after="160" w:line="276"/>
      </w:pPr>
      <w:r>
        <w:rPr>
          <w:rFonts w:ascii="Calibri" w:cs="Calibri" w:eastAsia="Calibri" w:hAnsi="Calibri"/>
          <w:b w:val="false"/>
          <w:bCs w:val="false"/>
          <w:i w:val="false"/>
          <w:iCs w:val="false"/>
          <w:sz w:val="22"/>
          <w:szCs w:val="22"/>
        </w:rPr>
        <w:t xml:space="preserve">The Event Processor enriches each event with session context. The retailer SDK generates a SessionId when a user lands on the page and passes it with every subsequent event during that visit. The Processor links events sharing the same SessionId into a session window, considered complete after 30 minutes of inactivity. ClickToBasket conversion is calculated at the session level, as the percentage of sessions containing a click event that also contain a basket event, rather than as a raw ratio of total clicks to total impressions.</w:t>
      </w:r>
    </w:p>
    <w:p>
      <w:pPr>
        <w:pStyle w:val="Heading2"/>
        <w:spacing w:after="130" w:before="260"/>
      </w:pPr>
      <w:r>
        <w:rPr>
          <w:rFonts w:ascii="Calibri" w:cs="Calibri" w:eastAsia="Calibri" w:hAnsi="Calibri"/>
          <w:b/>
          <w:bCs/>
          <w:color w:val="2E74B5"/>
          <w:sz w:val="25"/>
          <w:szCs w:val="25"/>
        </w:rPr>
        <w:t xml:space="preserve">End-to-End Flow Diagram</w:t>
      </w:r>
    </w:p>
    <w:p>
      <w:pPr>
        <w:spacing w:after="240" w:before="120"/>
        <w:jc w:val="center"/>
      </w:pPr>
      <w:r>
        <w:drawing>
          <wp:inline distT="0" distB="0" distL="0" distR="0">
            <wp:extent cx="246697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66975" cy="3705225"/>
                    </a:xfrm>
                    <a:prstGeom prst="rect">
                      <a:avLst/>
                    </a:prstGeom>
                  </pic:spPr>
                </pic:pic>
              </a:graphicData>
            </a:graphic>
          </wp:inline>
        </w:drawing>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8. Deployment Architecture</w:t>
      </w:r>
    </w:p>
    <w:p>
      <w:pPr>
        <w:spacing w:after="160" w:line="276"/>
      </w:pPr>
      <w:r>
        <w:rPr>
          <w:rFonts w:ascii="Calibri" w:cs="Calibri" w:eastAsia="Calibri" w:hAnsi="Calibri"/>
          <w:b w:val="false"/>
          <w:bCs w:val="false"/>
          <w:i w:val="false"/>
          <w:iCs w:val="false"/>
          <w:sz w:val="22"/>
          <w:szCs w:val="22"/>
        </w:rPr>
        <w:t xml:space="preserve">The solution is deployed on Google Cloud Platform (GCP) using managed services to simplify operations, improve scalability, and reduce infrastructure management.</w:t>
      </w:r>
    </w:p>
    <w:p>
      <w:pPr>
        <w:pStyle w:val="Heading2"/>
        <w:spacing w:after="130" w:before="260"/>
      </w:pPr>
      <w:r>
        <w:rPr>
          <w:rFonts w:ascii="Calibri" w:cs="Calibri" w:eastAsia="Calibri" w:hAnsi="Calibri"/>
          <w:b/>
          <w:bCs/>
          <w:color w:val="2E74B5"/>
          <w:sz w:val="25"/>
          <w:szCs w:val="25"/>
        </w:rPr>
        <w:t xml:space="preserve">Deployment Components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Layer</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Technology</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Global Load Balancer</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Google Cloud Load Balancer</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Container Platform</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Google Kubernetes Engine (GKE)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Messaging</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Google Pub/Sub</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Database</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Cache</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Analytics</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Secrets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Secret Manager</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Monitoring</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Cloud Monitoring &amp; Cloud Logging</w:t>
            </w:r>
          </w:p>
        </w:tc>
      </w:tr>
    </w:tbl>
    <w:p>
      <w:pPr>
        <w:pStyle w:val="Heading2"/>
        <w:spacing w:after="130" w:before="260"/>
      </w:pPr>
      <w:r>
        <w:rPr>
          <w:rFonts w:ascii="Calibri" w:cs="Calibri" w:eastAsia="Calibri" w:hAnsi="Calibri"/>
          <w:b/>
          <w:bCs/>
          <w:color w:val="2E74B5"/>
          <w:sz w:val="25"/>
          <w:szCs w:val="25"/>
        </w:rPr>
        <w:t xml:space="preserve">Scaling Strategy</w:t>
      </w:r>
    </w:p>
    <w:p>
      <w:pPr>
        <w:spacing w:after="160" w:line="276"/>
      </w:pPr>
      <w:r>
        <w:rPr>
          <w:rFonts w:ascii="Calibri" w:cs="Calibri" w:eastAsia="Calibri" w:hAnsi="Calibri"/>
          <w:b w:val="false"/>
          <w:bCs w:val="false"/>
          <w:i w:val="false"/>
          <w:iCs w:val="false"/>
          <w:sz w:val="22"/>
          <w:szCs w:val="22"/>
        </w:rPr>
        <w:t xml:space="preserve">Each service scales independently based on its own workload instead of scaling the entire platform. This minimizes infrastructure cost while preventing bottlenecks caused by unrelated workloads.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Service</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Scaling Trigger</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API Gateway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HTTP request rate</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 Collector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Incoming ingestion requests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Event Processor</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Pub/Sub subscription backlog</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Metrics Aggregator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Aggregation queue depth</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Insights API</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Dashboard/API requests</w:t>
            </w:r>
          </w:p>
        </w:tc>
      </w:tr>
    </w:tbl>
    <w:p>
      <w:pPr>
        <w:spacing w:after="140"/>
      </w:pPr>
    </w:p>
    <w:p>
      <w:pPr>
        <w:pStyle w:val="Heading3"/>
        <w:spacing w:after="90" w:before="180"/>
      </w:pPr>
      <w:r>
        <w:rPr>
          <w:rFonts w:ascii="Calibri" w:cs="Calibri" w:eastAsia="Calibri" w:hAnsi="Calibri"/>
          <w:b/>
          <w:bCs/>
          <w:color w:val="1F3864"/>
          <w:sz w:val="22"/>
          <w:szCs w:val="22"/>
        </w:rPr>
        <w:t xml:space="preserve">Event Stream Partitioning</w:t>
      </w:r>
    </w:p>
    <w:p>
      <w:pPr>
        <w:spacing w:after="160" w:line="276"/>
      </w:pPr>
      <w:r>
        <w:rPr>
          <w:rFonts w:ascii="Calibri" w:cs="Calibri" w:eastAsia="Calibri" w:hAnsi="Calibri"/>
          <w:b w:val="false"/>
          <w:bCs w:val="false"/>
          <w:i w:val="false"/>
          <w:iCs w:val="false"/>
          <w:sz w:val="22"/>
          <w:szCs w:val="22"/>
        </w:rPr>
        <w:t xml:space="preserve">Google Pub/Sub subscriptions for the Processing and Aggregation consumers are configured with message ordering enabled, using CampaignId as the ordering key. This guarantees all events for a given campaign are delivered sequentially to the same consumer instance, preserving order for accurate aggregation. At the ingest side, the Event Collector publishes using TenantId as the ordering key, distributing load evenly across partitions while keeping each tenant's events on a consistent partition.</w:t>
      </w:r>
    </w:p>
    <w:p>
      <w:pPr>
        <w:pStyle w:val="Heading2"/>
        <w:spacing w:after="130" w:before="260"/>
      </w:pPr>
      <w:r>
        <w:rPr>
          <w:rFonts w:ascii="Calibri" w:cs="Calibri" w:eastAsia="Calibri" w:hAnsi="Calibri"/>
          <w:b/>
          <w:bCs/>
          <w:color w:val="2E74B5"/>
          <w:sz w:val="25"/>
          <w:szCs w:val="25"/>
        </w:rPr>
        <w:t xml:space="preserve">Deployment Diagram</w:t>
      </w:r>
    </w:p>
    <w:p>
      <w:pPr>
        <w:spacing w:after="240" w:before="120"/>
        <w:jc w:val="center"/>
      </w:pPr>
      <w:r>
        <w:drawing>
          <wp:inline distT="0" distB="0" distL="0" distR="0">
            <wp:extent cx="238125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3562350"/>
                    </a:xfrm>
                    <a:prstGeom prst="rect">
                      <a:avLst/>
                    </a:prstGeom>
                  </pic:spPr>
                </pic:pic>
              </a:graphicData>
            </a:graphic>
          </wp:inline>
        </w:drawing>
      </w:r>
    </w:p>
    <w:p>
      <w:pPr>
        <w:pStyle w:val="Heading2"/>
        <w:spacing w:after="130" w:before="260"/>
      </w:pPr>
      <w:r>
        <w:rPr>
          <w:rFonts w:ascii="Calibri" w:cs="Calibri" w:eastAsia="Calibri" w:hAnsi="Calibri"/>
          <w:b/>
          <w:bCs/>
          <w:color w:val="2E74B5"/>
          <w:sz w:val="25"/>
          <w:szCs w:val="25"/>
        </w:rPr>
        <w:t xml:space="preserve">Deployment Decisions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Decision</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Reason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GKE</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Run scalable containerized services.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Load Balancer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Distribute external traffic.</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Pub/Sub</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Decouple producers and consumers.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Secret Manager</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Secure application secrets.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Cloud Monitoring</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Centralized monitoring and alerting.</w:t>
            </w:r>
          </w:p>
        </w:tc>
      </w:tr>
    </w:tbl>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9. Security Architecture</w:t>
      </w:r>
    </w:p>
    <w:p>
      <w:pPr>
        <w:spacing w:after="160" w:line="276"/>
      </w:pPr>
      <w:r>
        <w:rPr>
          <w:rFonts w:ascii="Calibri" w:cs="Calibri" w:eastAsia="Calibri" w:hAnsi="Calibri"/>
          <w:b w:val="false"/>
          <w:bCs w:val="false"/>
          <w:i w:val="false"/>
          <w:iCs w:val="false"/>
          <w:sz w:val="22"/>
          <w:szCs w:val="22"/>
        </w:rPr>
        <w:t xml:space="preserve">Security is implemented across every layer of the platform to protect customer data, tenant information, and platform resources. The solution follows a defense-in-depth approach using industry-standard authentication, authorization, encryption, and secret management.</w:t>
      </w:r>
    </w:p>
    <w:p>
      <w:pPr>
        <w:pStyle w:val="Heading2"/>
        <w:spacing w:after="130" w:before="260"/>
      </w:pPr>
      <w:r>
        <w:rPr>
          <w:rFonts w:ascii="Calibri" w:cs="Calibri" w:eastAsia="Calibri" w:hAnsi="Calibri"/>
          <w:b/>
          <w:bCs/>
          <w:color w:val="2E74B5"/>
          <w:sz w:val="25"/>
          <w:szCs w:val="25"/>
        </w:rPr>
        <w:t xml:space="preserve">Security Controls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Area</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Implementation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Authentication</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OAuth 2.0 + JWT</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Authorization</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Role-Based Access Control (RBAC)</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Tenant Isolation</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Tenant ID validation for every request</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Rate Limiting</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Per-tenant sliding window counter in Redis. Default 10,000 events/minute per tenant, configurable per tenant.</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Encryption in Transit</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HTTPS (TLS 1.3)</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Encryption at Rest</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Cloud-managed encryption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Secrets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Google Secret Manager</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Audit Logging</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Centralized audit logs</w:t>
            </w:r>
          </w:p>
        </w:tc>
      </w:tr>
    </w:tbl>
    <w:p>
      <w:pPr>
        <w:pStyle w:val="Heading2"/>
        <w:spacing w:after="130" w:before="260"/>
      </w:pPr>
      <w:r>
        <w:rPr>
          <w:rFonts w:ascii="Calibri" w:cs="Calibri" w:eastAsia="Calibri" w:hAnsi="Calibri"/>
          <w:b/>
          <w:bCs/>
          <w:color w:val="2E74B5"/>
          <w:sz w:val="25"/>
          <w:szCs w:val="25"/>
        </w:rPr>
        <w:t xml:space="preserve">Key Security Decisions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Decision</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Reason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JWT Authentication</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Stateless and scalable authentication</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RBAC</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Fine-grained access control</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Secret Manager</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Secure credential management</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HTTPS</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Secure communication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Audit Logs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Traceability and compliance</w:t>
            </w:r>
          </w:p>
        </w:tc>
      </w:tr>
    </w:tbl>
    <w:p>
      <w:pPr>
        <w:pStyle w:val="Heading2"/>
        <w:spacing w:after="130" w:before="260"/>
      </w:pPr>
      <w:r>
        <w:rPr>
          <w:rFonts w:ascii="Calibri" w:cs="Calibri" w:eastAsia="Calibri" w:hAnsi="Calibri"/>
          <w:b/>
          <w:bCs/>
          <w:color w:val="2E74B5"/>
          <w:sz w:val="25"/>
          <w:szCs w:val="25"/>
        </w:rPr>
        <w:t xml:space="preserve">Security Flow</w:t>
      </w:r>
    </w:p>
    <w:p>
      <w:pPr>
        <w:spacing w:after="240" w:before="120"/>
        <w:jc w:val="center"/>
      </w:pPr>
      <w:r>
        <w:drawing>
          <wp:inline distT="0" distB="0" distL="0" distR="0">
            <wp:extent cx="2152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52650" cy="4019550"/>
                    </a:xfrm>
                    <a:prstGeom prst="rect">
                      <a:avLst/>
                    </a:prstGeom>
                  </pic:spPr>
                </pic:pic>
              </a:graphicData>
            </a:graphic>
          </wp:inline>
        </w:drawing>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10. Data Architecture</w:t>
      </w:r>
    </w:p>
    <w:p>
      <w:pPr>
        <w:spacing w:after="160" w:line="276"/>
      </w:pPr>
      <w:r>
        <w:rPr>
          <w:rFonts w:ascii="Calibri" w:cs="Calibri" w:eastAsia="Calibri" w:hAnsi="Calibri"/>
          <w:b w:val="false"/>
          <w:bCs w:val="false"/>
          <w:i w:val="false"/>
          <w:iCs w:val="false"/>
          <w:sz w:val="22"/>
          <w:szCs w:val="22"/>
        </w:rPr>
        <w:t xml:space="preserve">The platform separates operational, caching, and analytical workloads to improve scalability, maintainability, and reporting performance.</w:t>
      </w:r>
    </w:p>
    <w:p>
      <w:pPr>
        <w:pStyle w:val="Heading2"/>
        <w:spacing w:after="130" w:before="260"/>
      </w:pPr>
      <w:r>
        <w:rPr>
          <w:rFonts w:ascii="Calibri" w:cs="Calibri" w:eastAsia="Calibri" w:hAnsi="Calibri"/>
          <w:b/>
          <w:bCs/>
          <w:color w:val="2E74B5"/>
          <w:sz w:val="25"/>
          <w:szCs w:val="25"/>
        </w:rPr>
        <w:t xml:space="preserve">Data Stores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Data Store</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Purpose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Operational system of record</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Low-latency cache for dashboards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Historical analytics and reporting</w:t>
            </w:r>
          </w:p>
        </w:tc>
      </w:tr>
    </w:tbl>
    <w:p>
      <w:pPr>
        <w:spacing w:after="240" w:before="120"/>
        <w:jc w:val="center"/>
      </w:pPr>
      <w:r>
        <w:drawing>
          <wp:inline distT="0" distB="0" distL="0" distR="0">
            <wp:extent cx="29241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24175" cy="3400425"/>
                    </a:xfrm>
                    <a:prstGeom prst="rect">
                      <a:avLst/>
                    </a:prstGeom>
                  </pic:spPr>
                </pic:pic>
              </a:graphicData>
            </a:graphic>
          </wp:inline>
        </w:drawing>
      </w:r>
    </w:p>
    <w:p>
      <w:pPr>
        <w:pStyle w:val="Heading2"/>
        <w:spacing w:after="130" w:before="260"/>
      </w:pPr>
      <w:r>
        <w:rPr>
          <w:rFonts w:ascii="Calibri" w:cs="Calibri" w:eastAsia="Calibri" w:hAnsi="Calibri"/>
          <w:b/>
          <w:bCs/>
          <w:color w:val="2E74B5"/>
          <w:sz w:val="25"/>
          <w:szCs w:val="25"/>
        </w:rPr>
        <w:t xml:space="preserve">Data Strategy</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Area</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Approach</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Operational Data</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Cached Data</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Historical Analytics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Read Optimization</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Redis-first strategy</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Analytics Updates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Asynchronous processing</w:t>
            </w:r>
          </w:p>
        </w:tc>
      </w:tr>
    </w:tbl>
    <w:p>
      <w:pPr>
        <w:pStyle w:val="Heading2"/>
        <w:spacing w:after="130" w:before="260"/>
      </w:pPr>
      <w:r>
        <w:rPr>
          <w:rFonts w:ascii="Calibri" w:cs="Calibri" w:eastAsia="Calibri" w:hAnsi="Calibri"/>
          <w:b/>
          <w:bCs/>
          <w:color w:val="2E74B5"/>
          <w:sz w:val="25"/>
          <w:szCs w:val="25"/>
        </w:rPr>
        <w:t xml:space="preserve">CQRS Approach</w:t>
      </w:r>
    </w:p>
    <w:p>
      <w:pPr>
        <w:spacing w:after="160" w:line="276"/>
      </w:pPr>
      <w:r>
        <w:rPr>
          <w:rFonts w:ascii="Calibri" w:cs="Calibri" w:eastAsia="Calibri" w:hAnsi="Calibri"/>
          <w:b w:val="false"/>
          <w:bCs w:val="false"/>
          <w:i w:val="false"/>
          <w:iCs w:val="false"/>
          <w:sz w:val="22"/>
          <w:szCs w:val="22"/>
        </w:rPr>
        <w:t xml:space="preserve">The platform follows a logical Command Query Responsibility Segregation (CQRS) pattern.</w:t>
      </w:r>
    </w:p>
    <w:p>
      <w:pPr>
        <w:spacing w:after="160" w:line="276"/>
      </w:pPr>
      <w:r>
        <w:rPr>
          <w:rFonts w:ascii="Calibri" w:cs="Calibri" w:eastAsia="Calibri" w:hAnsi="Calibri"/>
          <w:b w:val="false"/>
          <w:bCs w:val="false"/>
          <w:i w:val="false"/>
          <w:iCs w:val="false"/>
          <w:sz w:val="22"/>
          <w:szCs w:val="22"/>
        </w:rPr>
        <w:t xml:space="preserve">Customer events are processed through the command path, where operational data is persisted and domain events are published.</w:t>
      </w:r>
    </w:p>
    <w:p>
      <w:pPr>
        <w:spacing w:after="160" w:line="276"/>
      </w:pPr>
      <w:r>
        <w:rPr>
          <w:rFonts w:ascii="Calibri" w:cs="Calibri" w:eastAsia="Calibri" w:hAnsi="Calibri"/>
          <w:b w:val="false"/>
          <w:bCs w:val="false"/>
          <w:i w:val="false"/>
          <w:iCs w:val="false"/>
          <w:sz w:val="22"/>
          <w:szCs w:val="22"/>
        </w:rPr>
        <w:t xml:space="preserve">Analytical queries are served through dedicated read models backed by Redis and BigQuery, ensuring that reporting workloads never impact transactional processing.</w:t>
      </w:r>
    </w:p>
    <w:p>
      <w:pPr>
        <w:spacing w:after="160" w:line="276"/>
      </w:pPr>
      <w:r>
        <w:rPr>
          <w:rFonts w:ascii="Calibri" w:cs="Calibri" w:eastAsia="Calibri" w:hAnsi="Calibri"/>
          <w:b w:val="false"/>
          <w:bCs w:val="false"/>
          <w:i w:val="false"/>
          <w:iCs w:val="false"/>
          <w:sz w:val="22"/>
          <w:szCs w:val="22"/>
        </w:rPr>
        <w:t xml:space="preserve">This separation enables independent scaling of write-intensive ingestion and read-intensive analytical APIs while maintaining clear ownership of operational and analytical data.</w:t>
      </w:r>
    </w:p>
    <w:p>
      <w:pPr>
        <w:pStyle w:val="Heading3"/>
        <w:spacing w:after="90" w:before="180"/>
      </w:pPr>
      <w:r>
        <w:rPr>
          <w:rFonts w:ascii="Calibri" w:cs="Calibri" w:eastAsia="Calibri" w:hAnsi="Calibri"/>
          <w:b/>
          <w:bCs/>
          <w:color w:val="1F3864"/>
          <w:sz w:val="22"/>
          <w:szCs w:val="22"/>
        </w:rPr>
        <w:t xml:space="preserve">Session Read Model</w:t>
      </w:r>
    </w:p>
    <w:p>
      <w:pPr>
        <w:spacing w:after="160" w:line="276"/>
      </w:pPr>
      <w:r>
        <w:rPr>
          <w:rFonts w:ascii="Calibri" w:cs="Calibri" w:eastAsia="Calibri" w:hAnsi="Calibri"/>
          <w:b w:val="false"/>
          <w:bCs w:val="false"/>
          <w:i w:val="false"/>
          <w:iCs w:val="false"/>
          <w:sz w:val="22"/>
          <w:szCs w:val="22"/>
        </w:rPr>
        <w:t xml:space="preserve">The Aggregator maintains a CustomerSession read model alongside CampaignMetrics, accumulating event types per SessionId and finalizing the record once the inactivity window expires. Campaign-level conversion metrics are derived from finalized session records.</w:t>
      </w:r>
    </w:p>
    <w:p>
      <w:pPr>
        <w:pStyle w:val="Heading3"/>
        <w:spacing w:after="90" w:before="180"/>
      </w:pPr>
      <w:r>
        <w:rPr>
          <w:rFonts w:ascii="Calibri" w:cs="Calibri" w:eastAsia="Calibri" w:hAnsi="Calibri"/>
          <w:b/>
          <w:bCs/>
          <w:color w:val="1F3864"/>
          <w:sz w:val="22"/>
          <w:szCs w:val="22"/>
        </w:rPr>
        <w:t xml:space="preserve">Cache Recovery</w:t>
      </w:r>
    </w:p>
    <w:p>
      <w:pPr>
        <w:spacing w:after="160" w:line="276"/>
      </w:pPr>
      <w:r>
        <w:rPr>
          <w:rFonts w:ascii="Calibri" w:cs="Calibri" w:eastAsia="Calibri" w:hAnsi="Calibri"/>
          <w:b w:val="false"/>
          <w:bCs w:val="false"/>
          <w:i w:val="false"/>
          <w:iCs w:val="false"/>
          <w:sz w:val="22"/>
          <w:szCs w:val="22"/>
        </w:rPr>
        <w:t xml:space="preserve">Redis counters are the live source of truth for real-time metrics, not a disposable cache, so a Redis restart would otherwise lose all in-flight campaign counts. A recovery process runs at Aggregator startup: if the cache is found empty, counters are re-seeded from the last durable snapshot in the analytics store before any live event processing resumes. Live event subscription is deliberately withheld until recovery completes, preventing a race between seeded values and concurrently-arriving events.</w:t>
      </w:r>
    </w:p>
    <w:p>
      <w:pPr>
        <w:pStyle w:val="Heading2"/>
        <w:spacing w:after="130" w:before="260"/>
      </w:pPr>
      <w:r>
        <w:rPr>
          <w:rFonts w:ascii="Calibri" w:cs="Calibri" w:eastAsia="Calibri" w:hAnsi="Calibri"/>
          <w:b/>
          <w:bCs/>
          <w:color w:val="2E74B5"/>
          <w:sz w:val="25"/>
          <w:szCs w:val="25"/>
        </w:rPr>
        <w:t xml:space="preserve">Key Data Decisions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Decision</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Reason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Strong transactional consistency</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Improve API response time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Isolate analytical workloads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Separate Data Stores</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Independent scaling of workloads</w:t>
            </w:r>
          </w:p>
        </w:tc>
      </w:tr>
    </w:tbl>
    <w:p>
      <w:pPr>
        <w:spacing w:after="160"/>
      </w:pPr>
    </w:p>
    <w:p>
      <w:pPr>
        <w:pStyle w:val="Heading2"/>
        <w:spacing w:after="130" w:before="260"/>
      </w:pPr>
      <w:r>
        <w:rPr>
          <w:rFonts w:ascii="Calibri" w:cs="Calibri" w:eastAsia="Calibri" w:hAnsi="Calibri"/>
          <w:b/>
          <w:bCs/>
          <w:color w:val="2E74B5"/>
          <w:sz w:val="25"/>
          <w:szCs w:val="25"/>
        </w:rPr>
        <w:t xml:space="preserve">Data Retention</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2100"/>
        <w:gridCol w:w="46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Store</w:t>
            </w:r>
          </w:p>
        </w:tc>
        <w:tc>
          <w:tcPr>
            <w:tcW w:type="dxa" w:w="21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Retention Period</w:t>
            </w:r>
          </w:p>
        </w:tc>
        <w:tc>
          <w:tcPr>
            <w:tcW w:type="dxa" w:w="46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Action on Expiry</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SQL Server (raw events)</w:t>
            </w:r>
          </w:p>
        </w:tc>
        <w:tc>
          <w:tcPr>
            <w:tcW w:type="dxa" w:w="21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90 days</w:t>
            </w:r>
          </w:p>
        </w:tc>
        <w:tc>
          <w:tcPr>
            <w:tcW w:type="dxa" w:w="46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Archive to cold storage or delete</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 (live counters)</w:t>
            </w:r>
          </w:p>
        </w:tc>
        <w:tc>
          <w:tcPr>
            <w:tcW w:type="dxa" w:w="21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No expiry</w:t>
            </w:r>
          </w:p>
        </w:tc>
        <w:tc>
          <w:tcPr>
            <w:tcW w:type="dxa" w:w="46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Persist for the life of the campaign; reset only by an explicit recovery-seed at startup, never by time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BigQuery (analytics)</w:t>
            </w:r>
          </w:p>
        </w:tc>
        <w:tc>
          <w:tcPr>
            <w:tcW w:type="dxa" w:w="21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3 years</w:t>
            </w:r>
          </w:p>
        </w:tc>
        <w:tc>
          <w:tcPr>
            <w:tcW w:type="dxa" w:w="46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Move to long-term BigQuery storage tier (lower cost)</w:t>
            </w:r>
          </w:p>
        </w:tc>
      </w:tr>
    </w:tbl>
    <w:p>
      <w:pPr>
        <w:spacing w:after="120"/>
      </w:pPr>
    </w:p>
    <w:p>
      <w:pPr>
        <w:spacing w:after="160" w:line="276"/>
      </w:pPr>
      <w:r>
        <w:rPr>
          <w:rFonts w:ascii="Calibri" w:cs="Calibri" w:eastAsia="Calibri" w:hAnsi="Calibri"/>
          <w:b w:val="false"/>
          <w:bCs w:val="false"/>
          <w:i w:val="false"/>
          <w:iCs w:val="false"/>
          <w:sz w:val="22"/>
          <w:szCs w:val="22"/>
        </w:rPr>
        <w:t xml:space="preserve">Customer interaction events contain a CustomerId, which may be considered personal data depending on jurisdiction. A soft-delete flag on CustomerEvent allows the system to mark events for erasure without immediate deletion. A scheduled job permanently removes flagged records after 30 days, satisfying most right-to-erasure timelines.</w:t>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11. Observability &amp; Reliability</w:t>
      </w:r>
    </w:p>
    <w:p>
      <w:pPr>
        <w:spacing w:after="160" w:line="276"/>
      </w:pPr>
      <w:r>
        <w:rPr>
          <w:rFonts w:ascii="Calibri" w:cs="Calibri" w:eastAsia="Calibri" w:hAnsi="Calibri"/>
          <w:b w:val="false"/>
          <w:bCs w:val="false"/>
          <w:i w:val="false"/>
          <w:iCs w:val="false"/>
          <w:sz w:val="22"/>
          <w:szCs w:val="22"/>
        </w:rPr>
        <w:t xml:space="preserve">The platform is designed to provide operational visibility and resilience through centralized monitoring, distributed tracing, health checks, and automated recovery mechanisms.</w:t>
      </w:r>
    </w:p>
    <w:p>
      <w:pPr>
        <w:pStyle w:val="Heading2"/>
        <w:spacing w:after="130" w:before="260"/>
      </w:pPr>
      <w:r>
        <w:rPr>
          <w:rFonts w:ascii="Calibri" w:cs="Calibri" w:eastAsia="Calibri" w:hAnsi="Calibri"/>
          <w:b/>
          <w:bCs/>
          <w:color w:val="2E74B5"/>
          <w:sz w:val="25"/>
          <w:szCs w:val="25"/>
        </w:rPr>
        <w:t xml:space="preserve">Observability Components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Area</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Implementation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Logging</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Cloud Logging</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Monitoring</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Cloud Monitoring</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Distributed Tracing</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Open Telemetry</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Health Checks</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Liveness &amp; Readiness Probes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Alerting</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Cloud Monitoring Alerts</w:t>
            </w:r>
          </w:p>
        </w:tc>
      </w:tr>
    </w:tbl>
    <w:p>
      <w:pPr>
        <w:pStyle w:val="Heading2"/>
        <w:spacing w:after="130" w:before="260"/>
      </w:pPr>
      <w:r>
        <w:rPr>
          <w:rFonts w:ascii="Calibri" w:cs="Calibri" w:eastAsia="Calibri" w:hAnsi="Calibri"/>
          <w:b/>
          <w:bCs/>
          <w:color w:val="2E74B5"/>
          <w:sz w:val="25"/>
          <w:szCs w:val="25"/>
        </w:rPr>
        <w:t xml:space="preserve">Reliability Features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Feature</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Purpose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Retry Policy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Handle transient failures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Dead Letter Queue</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Capture failed events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Auto Scaling</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Handle traffic spikes</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Health Checks</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Automatic service recovery</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Correlation ID</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End-to-end request tracing</w:t>
            </w:r>
          </w:p>
        </w:tc>
      </w:tr>
    </w:tbl>
    <w:p>
      <w:pPr>
        <w:pStyle w:val="Heading2"/>
        <w:spacing w:after="130" w:before="260"/>
      </w:pPr>
      <w:r>
        <w:rPr>
          <w:rFonts w:ascii="Calibri" w:cs="Calibri" w:eastAsia="Calibri" w:hAnsi="Calibri"/>
          <w:b/>
          <w:bCs/>
          <w:color w:val="2E74B5"/>
          <w:sz w:val="25"/>
          <w:szCs w:val="25"/>
        </w:rPr>
        <w:t xml:space="preserve">Failure Handling</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3200"/>
        <w:gridCol w:w="6120"/>
      </w:tblGrid>
      <w:tr>
        <w:trPr>
          <w:tblHeader/>
        </w:trPr>
        <w:tc>
          <w:tcPr>
            <w:tcW w:type="dxa" w:w="32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Failure Scenario</w:t>
            </w:r>
          </w:p>
        </w:tc>
        <w:tc>
          <w:tcPr>
            <w:tcW w:type="dxa" w:w="61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Platform Behavior</w:t>
            </w:r>
          </w:p>
        </w:tc>
      </w:tr>
      <w:tr>
        <w:tc>
          <w:tcPr>
            <w:tcW w:type="dxa" w:w="32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Event processing failure</w:t>
            </w:r>
          </w:p>
        </w:tc>
        <w:tc>
          <w:tcPr>
            <w:tcW w:type="dxa" w:w="6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Automatic retry</w:t>
            </w:r>
          </w:p>
        </w:tc>
      </w:tr>
      <w:tr>
        <w:tc>
          <w:tcPr>
            <w:tcW w:type="dxa" w:w="32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Retry limit exceeded</w:t>
            </w:r>
          </w:p>
        </w:tc>
        <w:tc>
          <w:tcPr>
            <w:tcW w:type="dxa" w:w="6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 moved to Dead Letter Queue</w:t>
            </w:r>
          </w:p>
        </w:tc>
      </w:tr>
      <w:tr>
        <w:tc>
          <w:tcPr>
            <w:tcW w:type="dxa" w:w="32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Redis restarted or flushed</w:t>
            </w:r>
          </w:p>
        </w:tc>
        <w:tc>
          <w:tcPr>
            <w:tcW w:type="dxa" w:w="6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Recovery service detects an empty cache at startup and re-seeds all counters from the last durable snapshot before resuming live event processing; queries fall back to the last snapshot in the interim</w:t>
            </w:r>
          </w:p>
        </w:tc>
      </w:tr>
      <w:tr>
        <w:tc>
          <w:tcPr>
            <w:tcW w:type="dxa" w:w="32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 Processor unavailable</w:t>
            </w:r>
          </w:p>
        </w:tc>
        <w:tc>
          <w:tcPr>
            <w:tcW w:type="dxa" w:w="6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Events remain in Pub/Sub until consumers recover</w:t>
            </w:r>
          </w:p>
        </w:tc>
      </w:tr>
      <w:tr>
        <w:tc>
          <w:tcPr>
            <w:tcW w:type="dxa" w:w="32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Metrics Aggregator unavailable</w:t>
            </w:r>
          </w:p>
        </w:tc>
        <w:tc>
          <w:tcPr>
            <w:tcW w:type="dxa" w:w="6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Event processing continues; aggregation resumes after recovery</w:t>
            </w:r>
          </w:p>
        </w:tc>
      </w:tr>
    </w:tbl>
    <w:p>
      <w:pPr>
        <w:pStyle w:val="Heading2"/>
        <w:spacing w:after="130" w:before="260"/>
      </w:pPr>
      <w:r>
        <w:rPr>
          <w:rFonts w:ascii="Calibri" w:cs="Calibri" w:eastAsia="Calibri" w:hAnsi="Calibri"/>
          <w:b/>
          <w:bCs/>
          <w:color w:val="2E74B5"/>
          <w:sz w:val="25"/>
          <w:szCs w:val="25"/>
        </w:rPr>
        <w:t xml:space="preserve">Observability Flow</w:t>
      </w:r>
    </w:p>
    <w:p>
      <w:pPr>
        <w:spacing w:after="240" w:before="120"/>
        <w:jc w:val="center"/>
      </w:pPr>
      <w:r>
        <w:drawing>
          <wp:inline distT="0" distB="0" distL="0" distR="0">
            <wp:extent cx="28384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38450" cy="3228975"/>
                    </a:xfrm>
                    <a:prstGeom prst="rect">
                      <a:avLst/>
                    </a:prstGeom>
                  </pic:spPr>
                </pic:pic>
              </a:graphicData>
            </a:graphic>
          </wp:inline>
        </w:drawing>
      </w:r>
    </w:p>
    <w:p>
      <w:pPr>
        <w:pStyle w:val="Heading2"/>
        <w:spacing w:after="130" w:before="260"/>
      </w:pPr>
      <w:r>
        <w:rPr>
          <w:rFonts w:ascii="Calibri" w:cs="Calibri" w:eastAsia="Calibri" w:hAnsi="Calibri"/>
          <w:b/>
          <w:bCs/>
          <w:color w:val="2E74B5"/>
          <w:sz w:val="25"/>
          <w:szCs w:val="25"/>
        </w:rPr>
        <w:t xml:space="preserve">Key Metrics</w:t>
      </w:r>
    </w:p>
    <w:p>
      <w:pPr>
        <w:spacing w:after="160" w:line="276"/>
      </w:pPr>
      <w:r>
        <w:rPr>
          <w:rFonts w:ascii="Calibri" w:cs="Calibri" w:eastAsia="Calibri" w:hAnsi="Calibri"/>
          <w:b w:val="false"/>
          <w:bCs w:val="false"/>
          <w:i w:val="false"/>
          <w:iCs w:val="false"/>
          <w:sz w:val="22"/>
          <w:szCs w:val="22"/>
        </w:rPr>
        <w:t xml:space="preserve">The following metrics form the operational alerting baseline for the platform.</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3000"/>
        <w:gridCol w:w="2600"/>
        <w:gridCol w:w="4120"/>
      </w:tblGrid>
      <w:tr>
        <w:trPr>
          <w:tblHeader/>
        </w:trPr>
        <w:tc>
          <w:tcPr>
            <w:tcW w:type="dxa" w:w="30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Metric</w:t>
            </w:r>
          </w:p>
        </w:tc>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Alert Threshold</w:t>
            </w:r>
          </w:p>
        </w:tc>
        <w:tc>
          <w:tcPr>
            <w:tcW w:type="dxa" w:w="41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Why</w:t>
            </w:r>
          </w:p>
        </w:tc>
      </w:tr>
      <w:tr>
        <w:tc>
          <w:tcPr>
            <w:tcW w:type="dxa" w:w="3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Event ingestion rate</w:t>
            </w:r>
          </w:p>
        </w:tc>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Drop &gt; 20% from baseline</w:t>
            </w:r>
          </w:p>
        </w:tc>
        <w:tc>
          <w:tcPr>
            <w:tcW w:type="dxa" w:w="4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Retailer SDK or upstream outage</w:t>
            </w:r>
          </w:p>
        </w:tc>
      </w:tr>
      <w:tr>
        <w:tc>
          <w:tcPr>
            <w:tcW w:type="dxa" w:w="3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Processing latency P99</w:t>
            </w:r>
          </w:p>
        </w:tc>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&gt; 2 seconds</w:t>
            </w:r>
          </w:p>
        </w:tc>
        <w:tc>
          <w:tcPr>
            <w:tcW w:type="dxa" w:w="4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Near-real-time SLA breach</w:t>
            </w:r>
          </w:p>
        </w:tc>
      </w:tr>
      <w:tr>
        <w:tc>
          <w:tcPr>
            <w:tcW w:type="dxa" w:w="3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Pub/Sub subscription backlog</w:t>
            </w:r>
          </w:p>
        </w:tc>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&gt; 10,000 messages</w:t>
            </w:r>
          </w:p>
        </w:tc>
        <w:tc>
          <w:tcPr>
            <w:tcW w:type="dxa" w:w="4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Consumer falling behind</w:t>
            </w:r>
          </w:p>
        </w:tc>
      </w:tr>
      <w:tr>
        <w:tc>
          <w:tcPr>
            <w:tcW w:type="dxa" w:w="3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 cache hit ratio</w:t>
            </w:r>
          </w:p>
        </w:tc>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&lt; 70%</w:t>
            </w:r>
          </w:p>
        </w:tc>
        <w:tc>
          <w:tcPr>
            <w:tcW w:type="dxa" w:w="4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Insights API over-hitting BigQuery</w:t>
            </w:r>
          </w:p>
        </w:tc>
      </w:tr>
      <w:tr>
        <w:tc>
          <w:tcPr>
            <w:tcW w:type="dxa" w:w="3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Dead letter queue depth</w:t>
            </w:r>
          </w:p>
        </w:tc>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&gt; 0</w:t>
            </w:r>
          </w:p>
        </w:tc>
        <w:tc>
          <w:tcPr>
            <w:tcW w:type="dxa" w:w="41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Events being permanently lost</w:t>
            </w:r>
          </w:p>
        </w:tc>
      </w:tr>
      <w:tr>
        <w:tc>
          <w:tcPr>
            <w:tcW w:type="dxa" w:w="3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5xx error rate per service</w:t>
            </w:r>
          </w:p>
        </w:tc>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&gt; 1%</w:t>
            </w:r>
          </w:p>
        </w:tc>
        <w:tc>
          <w:tcPr>
            <w:tcW w:type="dxa" w:w="41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Service degradation</w:t>
            </w:r>
          </w:p>
        </w:tc>
      </w:tr>
    </w:tbl>
    <w:p>
      <w:pPr>
        <w:pStyle w:val="Heading2"/>
        <w:spacing w:after="130" w:before="260"/>
      </w:pPr>
      <w:r>
        <w:rPr>
          <w:rFonts w:ascii="Calibri" w:cs="Calibri" w:eastAsia="Calibri" w:hAnsi="Calibri"/>
          <w:b/>
          <w:bCs/>
          <w:color w:val="2E74B5"/>
          <w:sz w:val="25"/>
          <w:szCs w:val="25"/>
        </w:rPr>
        <w:t xml:space="preserve">Cost Monitoring</w:t>
      </w:r>
    </w:p>
    <w:p>
      <w:pPr>
        <w:spacing w:after="160" w:line="276"/>
      </w:pPr>
      <w:r>
        <w:rPr>
          <w:rFonts w:ascii="Calibri" w:cs="Calibri" w:eastAsia="Calibri" w:hAnsi="Calibri"/>
          <w:b w:val="false"/>
          <w:bCs w:val="false"/>
          <w:i w:val="false"/>
          <w:iCs w:val="false"/>
          <w:sz w:val="22"/>
          <w:szCs w:val="22"/>
        </w:rPr>
        <w:t xml:space="preserve">Cost monitoring runs as a background concern across all services. Cloud Billing Export sends daily cost data to BigQuery, surfaced as a dashboard by service, tenant, and resource type, with alerts on per-tenant spend thresholds.</w:t>
      </w:r>
    </w:p>
    <w:p>
      <w:pPr>
        <w:spacing w:after="160" w:line="276"/>
      </w:pPr>
      <w:r>
        <w:rPr>
          <w:rFonts w:ascii="Calibri" w:cs="Calibri" w:eastAsia="Calibri" w:hAnsi="Calibri"/>
          <w:b w:val="false"/>
          <w:bCs w:val="false"/>
          <w:i w:val="false"/>
          <w:iCs w:val="false"/>
          <w:sz w:val="22"/>
          <w:szCs w:val="22"/>
        </w:rPr>
        <w:t xml:space="preserve">All analytical queries target tables partitioned by date and TenantId to minimize scan cost. Since Redis counters are updated on every event rather than re-fetched on a timer, the cost lever here is write volume to the durable analytics store rather than cache re-fetch frequency; batching or debouncing analytics-store writes is a natural future optimization if per-event write cost becomes significant at higher scale.</w:t>
      </w:r>
    </w:p>
    <w:p>
      <w:pPr>
        <w:pStyle w:val="Heading2"/>
        <w:spacing w:after="130" w:before="260"/>
      </w:pPr>
      <w:r>
        <w:rPr>
          <w:rFonts w:ascii="Calibri" w:cs="Calibri" w:eastAsia="Calibri" w:hAnsi="Calibri"/>
          <w:b/>
          <w:bCs/>
          <w:color w:val="2E74B5"/>
          <w:sz w:val="25"/>
          <w:szCs w:val="25"/>
        </w:rPr>
        <w:t xml:space="preserve">Reliability Features — Summary</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Decision</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Reason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Centralized Logging</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Simplify troubleshooting</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Distributed Tracing</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Track end-to-end requests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Health Checks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Improve service availability</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Auto Scaling</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Handle peak workloads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Dead Letter Queue</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Prevent message loss</w:t>
            </w:r>
          </w:p>
        </w:tc>
      </w:tr>
    </w:tbl>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12. Technology Decisions</w:t>
      </w:r>
    </w:p>
    <w:p>
      <w:pPr>
        <w:spacing w:after="160" w:line="276"/>
      </w:pPr>
      <w:r>
        <w:rPr>
          <w:rFonts w:ascii="Calibri" w:cs="Calibri" w:eastAsia="Calibri" w:hAnsi="Calibri"/>
          <w:b w:val="false"/>
          <w:bCs w:val="false"/>
          <w:i w:val="false"/>
          <w:iCs w:val="false"/>
          <w:sz w:val="22"/>
          <w:szCs w:val="22"/>
        </w:rPr>
        <w:t xml:space="preserve">The following technologies have been selected based on the functional and non-functional requirements of the proposed solution.</w:t>
      </w:r>
    </w:p>
    <w:p>
      <w:pPr>
        <w:pStyle w:val="Heading2"/>
        <w:spacing w:after="130" w:before="260"/>
      </w:pPr>
      <w:r>
        <w:rPr>
          <w:rFonts w:ascii="Calibri" w:cs="Calibri" w:eastAsia="Calibri" w:hAnsi="Calibri"/>
          <w:b/>
          <w:bCs/>
          <w:color w:val="2E74B5"/>
          <w:sz w:val="25"/>
          <w:szCs w:val="25"/>
        </w:rPr>
        <w:t xml:space="preserve">Technology Selection</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400"/>
        <w:gridCol w:w="3160"/>
        <w:gridCol w:w="3760"/>
      </w:tblGrid>
      <w:tr>
        <w:trPr>
          <w:tblHeader/>
        </w:trPr>
        <w:tc>
          <w:tcPr>
            <w:tcW w:type="dxa" w:w="24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Layer</w:t>
            </w:r>
          </w:p>
        </w:tc>
        <w:tc>
          <w:tcPr>
            <w:tcW w:type="dxa" w:w="316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Technology</w:t>
            </w:r>
          </w:p>
        </w:tc>
        <w:tc>
          <w:tcPr>
            <w:tcW w:type="dxa" w:w="376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Purpose</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Cloud Platform</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Google Cloud Platform</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Managed cloud infrastructure</w:t>
            </w:r>
          </w:p>
        </w:tc>
      </w:tr>
      <w:tr>
        <w:tc>
          <w:tcPr>
            <w:tcW w:type="dxa" w:w="24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Backend</w:t>
            </w:r>
          </w:p>
        </w:tc>
        <w:tc>
          <w:tcPr>
            <w:tcW w:type="dxa" w:w="31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.NET 9 / C#</w:t>
            </w:r>
          </w:p>
        </w:tc>
        <w:tc>
          <w:tcPr>
            <w:tcW w:type="dxa" w:w="37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Backend services</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API</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REST</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External communication</w:t>
            </w:r>
          </w:p>
        </w:tc>
      </w:tr>
      <w:tr>
        <w:tc>
          <w:tcPr>
            <w:tcW w:type="dxa" w:w="24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Container Platform</w:t>
            </w:r>
          </w:p>
        </w:tc>
        <w:tc>
          <w:tcPr>
            <w:tcW w:type="dxa" w:w="31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Google Kubernetes Engine</w:t>
            </w:r>
          </w:p>
        </w:tc>
        <w:tc>
          <w:tcPr>
            <w:tcW w:type="dxa" w:w="37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Container orchestration</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API Gateway</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API Gateway</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Secure API entry point</w:t>
            </w:r>
          </w:p>
        </w:tc>
      </w:tr>
      <w:tr>
        <w:tc>
          <w:tcPr>
            <w:tcW w:type="dxa" w:w="24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Messaging</w:t>
            </w:r>
          </w:p>
        </w:tc>
        <w:tc>
          <w:tcPr>
            <w:tcW w:type="dxa" w:w="31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Google Pub/Sub</w:t>
            </w:r>
          </w:p>
        </w:tc>
        <w:tc>
          <w:tcPr>
            <w:tcW w:type="dxa" w:w="37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Event-driven communication</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Operational Database</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Transactional data</w:t>
            </w:r>
          </w:p>
        </w:tc>
      </w:tr>
      <w:tr>
        <w:tc>
          <w:tcPr>
            <w:tcW w:type="dxa" w:w="24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Cache</w:t>
            </w:r>
          </w:p>
        </w:tc>
        <w:tc>
          <w:tcPr>
            <w:tcW w:type="dxa" w:w="31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c>
          <w:tcPr>
            <w:tcW w:type="dxa" w:w="37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Low-latency reads</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Analytics</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Historical reporting</w:t>
            </w:r>
          </w:p>
        </w:tc>
      </w:tr>
      <w:tr>
        <w:tc>
          <w:tcPr>
            <w:tcW w:type="dxa" w:w="24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Authentication</w:t>
            </w:r>
          </w:p>
        </w:tc>
        <w:tc>
          <w:tcPr>
            <w:tcW w:type="dxa" w:w="31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OAuth 2.0 + JWT</w:t>
            </w:r>
          </w:p>
        </w:tc>
        <w:tc>
          <w:tcPr>
            <w:tcW w:type="dxa" w:w="37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Identity and access management</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Secrets</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Secret Manager</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Secure secret storage</w:t>
            </w:r>
          </w:p>
        </w:tc>
      </w:tr>
      <w:tr>
        <w:tc>
          <w:tcPr>
            <w:tcW w:type="dxa" w:w="24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Monitoring</w:t>
            </w:r>
          </w:p>
        </w:tc>
        <w:tc>
          <w:tcPr>
            <w:tcW w:type="dxa" w:w="31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Cloud Monitoring</w:t>
            </w:r>
          </w:p>
        </w:tc>
        <w:tc>
          <w:tcPr>
            <w:tcW w:type="dxa" w:w="37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Metrics and alerting</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Logging</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Cloud Logging</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Centralized logging</w:t>
            </w:r>
          </w:p>
        </w:tc>
      </w:tr>
      <w:tr>
        <w:tc>
          <w:tcPr>
            <w:tcW w:type="dxa" w:w="24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Tracing</w:t>
            </w:r>
          </w:p>
        </w:tc>
        <w:tc>
          <w:tcPr>
            <w:tcW w:type="dxa" w:w="31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Open Telemetry</w:t>
            </w:r>
          </w:p>
        </w:tc>
        <w:tc>
          <w:tcPr>
            <w:tcW w:type="dxa" w:w="376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Distributed tracing</w:t>
            </w:r>
          </w:p>
        </w:tc>
      </w:tr>
      <w:tr>
        <w:tc>
          <w:tcPr>
            <w:tcW w:type="dxa" w:w="24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Infrastructure</w:t>
            </w:r>
          </w:p>
        </w:tc>
        <w:tc>
          <w:tcPr>
            <w:tcW w:type="dxa" w:w="31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Terraform</w:t>
            </w:r>
          </w:p>
        </w:tc>
        <w:tc>
          <w:tcPr>
            <w:tcW w:type="dxa" w:w="376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Infrastructure as Code</w:t>
            </w:r>
          </w:p>
        </w:tc>
      </w:tr>
    </w:tbl>
    <w:p>
      <w:pPr>
        <w:spacing w:after="160"/>
      </w:pPr>
    </w:p>
    <w:p>
      <w:pPr>
        <w:pStyle w:val="Heading2"/>
        <w:spacing w:after="130" w:before="260"/>
      </w:pPr>
      <w:r>
        <w:rPr>
          <w:rFonts w:ascii="Calibri" w:cs="Calibri" w:eastAsia="Calibri" w:hAnsi="Calibri"/>
          <w:b/>
          <w:bCs/>
          <w:color w:val="2E74B5"/>
          <w:sz w:val="25"/>
          <w:szCs w:val="25"/>
        </w:rPr>
        <w:t xml:space="preserve">Architecture Trade-offs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000"/>
        <w:gridCol w:w="1900"/>
        <w:gridCol w:w="2900"/>
        <w:gridCol w:w="2520"/>
      </w:tblGrid>
      <w:tr>
        <w:trPr>
          <w:tblHeader/>
        </w:trPr>
        <w:tc>
          <w:tcPr>
            <w:tcW w:type="dxa" w:w="20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Decision</w:t>
            </w:r>
          </w:p>
        </w:tc>
        <w:tc>
          <w:tcPr>
            <w:tcW w:type="dxa" w:w="19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Alternative</w:t>
            </w:r>
          </w:p>
        </w:tc>
        <w:tc>
          <w:tcPr>
            <w:tcW w:type="dxa" w:w="29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Why Selected</w:t>
            </w:r>
          </w:p>
        </w:tc>
        <w:tc>
          <w:tcPr>
            <w:tcW w:type="dxa" w:w="25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Trade-off</w:t>
            </w:r>
          </w:p>
        </w:tc>
      </w:tr>
      <w:tr>
        <w:tc>
          <w:tcPr>
            <w:tcW w:type="dxa" w:w="2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Google Pub/Sub</w:t>
            </w:r>
          </w:p>
        </w:tc>
        <w:tc>
          <w:tcPr>
            <w:tcW w:type="dxa" w:w="1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Kafka</w:t>
            </w:r>
          </w:p>
        </w:tc>
        <w:tc>
          <w:tcPr>
            <w:tcW w:type="dxa" w:w="2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Fully managed GCP service</w:t>
            </w:r>
          </w:p>
        </w:tc>
        <w:tc>
          <w:tcPr>
            <w:tcW w:type="dxa" w:w="25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Less control over broker configuration</w:t>
            </w:r>
          </w:p>
        </w:tc>
      </w:tr>
      <w:tr>
        <w:tc>
          <w:tcPr>
            <w:tcW w:type="dxa" w:w="2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c>
          <w:tcPr>
            <w:tcW w:type="dxa" w:w="19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Cassandra</w:t>
            </w:r>
          </w:p>
        </w:tc>
        <w:tc>
          <w:tcPr>
            <w:tcW w:type="dxa" w:w="29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Strong consistency and relational queries</w:t>
            </w:r>
          </w:p>
        </w:tc>
        <w:tc>
          <w:tcPr>
            <w:tcW w:type="dxa" w:w="25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Lower write scalability</w:t>
            </w:r>
          </w:p>
        </w:tc>
      </w:tr>
      <w:tr>
        <w:tc>
          <w:tcPr>
            <w:tcW w:type="dxa" w:w="2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c>
          <w:tcPr>
            <w:tcW w:type="dxa" w:w="1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Direct SQL reads</w:t>
            </w:r>
          </w:p>
        </w:tc>
        <w:tc>
          <w:tcPr>
            <w:tcW w:type="dxa" w:w="2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Low-latency dashboard responses</w:t>
            </w:r>
          </w:p>
        </w:tc>
        <w:tc>
          <w:tcPr>
            <w:tcW w:type="dxa" w:w="25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Live counters require a recovery mechanism on restart, not just a simple re-fetch</w:t>
            </w:r>
          </w:p>
        </w:tc>
      </w:tr>
      <w:tr>
        <w:tc>
          <w:tcPr>
            <w:tcW w:type="dxa" w:w="2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c>
          <w:tcPr>
            <w:tcW w:type="dxa" w:w="19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SQL reporting</w:t>
            </w:r>
          </w:p>
        </w:tc>
        <w:tc>
          <w:tcPr>
            <w:tcW w:type="dxa" w:w="29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Optimized for analytics</w:t>
            </w:r>
          </w:p>
        </w:tc>
        <w:tc>
          <w:tcPr>
            <w:tcW w:type="dxa" w:w="25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Eventual consistency</w:t>
            </w:r>
          </w:p>
        </w:tc>
      </w:tr>
      <w:tr>
        <w:tc>
          <w:tcPr>
            <w:tcW w:type="dxa" w:w="2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Event-Driven</w:t>
            </w:r>
          </w:p>
        </w:tc>
        <w:tc>
          <w:tcPr>
            <w:tcW w:type="dxa" w:w="1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Synchronous APIs</w:t>
            </w:r>
          </w:p>
        </w:tc>
        <w:tc>
          <w:tcPr>
            <w:tcW w:type="dxa" w:w="29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Better scalability</w:t>
            </w:r>
          </w:p>
        </w:tc>
        <w:tc>
          <w:tcPr>
            <w:tcW w:type="dxa" w:w="25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More operational complexity</w:t>
            </w:r>
          </w:p>
        </w:tc>
      </w:tr>
    </w:tbl>
    <w:p>
      <w:pPr>
        <w:pStyle w:val="Heading2"/>
        <w:spacing w:after="130" w:before="260"/>
      </w:pPr>
      <w:r>
        <w:rPr>
          <w:rFonts w:ascii="Calibri" w:cs="Calibri" w:eastAsia="Calibri" w:hAnsi="Calibri"/>
          <w:b/>
          <w:bCs/>
          <w:color w:val="2E74B5"/>
          <w:sz w:val="25"/>
          <w:szCs w:val="25"/>
        </w:rPr>
        <w:t xml:space="preserve">Technology Stack Overview</w:t>
      </w:r>
    </w:p>
    <w:p>
      <w:pPr>
        <w:spacing w:after="240" w:before="120"/>
        <w:jc w:val="center"/>
      </w:pPr>
      <w:r>
        <w:drawing>
          <wp:inline distT="0" distB="0" distL="0" distR="0">
            <wp:extent cx="3657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57600" cy="2238375"/>
                    </a:xfrm>
                    <a:prstGeom prst="rect">
                      <a:avLst/>
                    </a:prstGeom>
                  </pic:spPr>
                </pic:pic>
              </a:graphicData>
            </a:graphic>
          </wp:inline>
        </w:drawing>
      </w:r>
    </w:p>
    <w:p>
      <w:pPr>
        <w:pStyle w:val="Heading2"/>
        <w:spacing w:after="130" w:before="260"/>
      </w:pPr>
      <w:r>
        <w:rPr>
          <w:rFonts w:ascii="Calibri" w:cs="Calibri" w:eastAsia="Calibri" w:hAnsi="Calibri"/>
          <w:b/>
          <w:bCs/>
          <w:color w:val="2E74B5"/>
          <w:sz w:val="25"/>
          <w:szCs w:val="25"/>
        </w:rPr>
        <w:t xml:space="preserve">Design Summary</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Area</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Design Choice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Architecture</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Hybrid (REST + Event-Driven)</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Deployment</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Cloud-Native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Scalability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Horizontal Scaling</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Security</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OAuth 2.0 + JWT</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Data Strategy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Operational + Analytical Separation</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Observability</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Centralized Monitoring &amp; Tracing</w:t>
            </w:r>
          </w:p>
        </w:tc>
      </w:tr>
    </w:tbl>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13. Future Roadmap</w:t>
      </w:r>
    </w:p>
    <w:p>
      <w:pPr>
        <w:spacing w:after="160" w:line="276"/>
      </w:pPr>
      <w:r>
        <w:rPr>
          <w:rFonts w:ascii="Calibri" w:cs="Calibri" w:eastAsia="Calibri" w:hAnsi="Calibri"/>
          <w:b w:val="false"/>
          <w:bCs w:val="false"/>
          <w:i w:val="false"/>
          <w:iCs w:val="false"/>
          <w:sz w:val="22"/>
          <w:szCs w:val="22"/>
        </w:rPr>
        <w:t xml:space="preserve">The proposed architecture has been designed to support future enhancements without requiring significant changes to the core platform. The modular and event-driven approach enables new capabilities to be introduced incrementally as business needs evolve.</w:t>
      </w:r>
    </w:p>
    <w:p>
      <w:pPr>
        <w:pStyle w:val="Heading2"/>
        <w:spacing w:after="130" w:before="260"/>
      </w:pPr>
      <w:r>
        <w:rPr>
          <w:rFonts w:ascii="Calibri" w:cs="Calibri" w:eastAsia="Calibri" w:hAnsi="Calibri"/>
          <w:b/>
          <w:bCs/>
          <w:color w:val="2E74B5"/>
          <w:sz w:val="25"/>
          <w:szCs w:val="25"/>
        </w:rPr>
        <w:t xml:space="preserve">Planned Evolution</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000"/>
        <w:gridCol w:w="7320"/>
      </w:tblGrid>
      <w:tr>
        <w:trPr>
          <w:tblHeader/>
        </w:trPr>
        <w:tc>
          <w:tcPr>
            <w:tcW w:type="dxa" w:w="20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Phase</w:t>
            </w:r>
          </w:p>
        </w:tc>
        <w:tc>
          <w:tcPr>
            <w:tcW w:type="dxa" w:w="73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Enhancement</w:t>
            </w:r>
          </w:p>
        </w:tc>
      </w:tr>
      <w:tr>
        <w:tc>
          <w:tcPr>
            <w:tcW w:type="dxa" w:w="2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Phase 1</w:t>
            </w:r>
          </w:p>
        </w:tc>
        <w:tc>
          <w:tcPr>
            <w:tcW w:type="dxa" w:w="73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Retail Media Intelligence Platform</w:t>
            </w:r>
          </w:p>
        </w:tc>
      </w:tr>
      <w:tr>
        <w:tc>
          <w:tcPr>
            <w:tcW w:type="dxa" w:w="2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Phase 2</w:t>
            </w:r>
          </w:p>
        </w:tc>
        <w:tc>
          <w:tcPr>
            <w:tcW w:type="dxa" w:w="73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AI-powered campaign recommendations</w:t>
            </w:r>
          </w:p>
        </w:tc>
      </w:tr>
      <w:tr>
        <w:tc>
          <w:tcPr>
            <w:tcW w:type="dxa" w:w="2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Phase 3</w:t>
            </w:r>
          </w:p>
        </w:tc>
        <w:tc>
          <w:tcPr>
            <w:tcW w:type="dxa" w:w="73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Fraud detection and anomaly monitoring</w:t>
            </w:r>
          </w:p>
        </w:tc>
      </w:tr>
      <w:tr>
        <w:tc>
          <w:tcPr>
            <w:tcW w:type="dxa" w:w="2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Phase 4</w:t>
            </w:r>
          </w:p>
        </w:tc>
        <w:tc>
          <w:tcPr>
            <w:tcW w:type="dxa" w:w="73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Multi-region deployment</w:t>
            </w:r>
          </w:p>
        </w:tc>
      </w:tr>
      <w:tr>
        <w:tc>
          <w:tcPr>
            <w:tcW w:type="dxa" w:w="2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Phase 5</w:t>
            </w:r>
          </w:p>
        </w:tc>
        <w:tc>
          <w:tcPr>
            <w:tcW w:type="dxa" w:w="73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Multi-cloud readiness</w:t>
            </w:r>
          </w:p>
        </w:tc>
      </w:tr>
    </w:tbl>
    <w:p>
      <w:pPr>
        <w:pStyle w:val="Heading2"/>
        <w:spacing w:after="130" w:before="260"/>
      </w:pPr>
      <w:r>
        <w:rPr>
          <w:rFonts w:ascii="Calibri" w:cs="Calibri" w:eastAsia="Calibri" w:hAnsi="Calibri"/>
          <w:b/>
          <w:bCs/>
          <w:color w:val="2E74B5"/>
          <w:sz w:val="25"/>
          <w:szCs w:val="25"/>
        </w:rPr>
        <w:t xml:space="preserve">Future Architecture</w:t>
      </w:r>
    </w:p>
    <w:p>
      <w:pPr>
        <w:spacing w:after="240" w:before="120"/>
        <w:jc w:val="center"/>
      </w:pPr>
      <w:r>
        <w:drawing>
          <wp:inline distT="0" distB="0" distL="0" distR="0">
            <wp:extent cx="475297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2667000"/>
                    </a:xfrm>
                    <a:prstGeom prst="rect">
                      <a:avLst/>
                    </a:prstGeom>
                  </pic:spPr>
                </pic:pic>
              </a:graphicData>
            </a:graphic>
          </wp:inline>
        </w:drawing>
      </w:r>
    </w:p>
    <w:p>
      <w:pPr>
        <w:pStyle w:val="Heading2"/>
        <w:spacing w:after="130" w:before="260"/>
      </w:pPr>
      <w:r>
        <w:rPr>
          <w:rFonts w:ascii="Calibri" w:cs="Calibri" w:eastAsia="Calibri" w:hAnsi="Calibri"/>
          <w:b/>
          <w:bCs/>
          <w:color w:val="2E74B5"/>
          <w:sz w:val="25"/>
          <w:szCs w:val="25"/>
        </w:rPr>
        <w:t xml:space="preserve">Future Design Goals</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3000"/>
        <w:gridCol w:w="6320"/>
      </w:tblGrid>
      <w:tr>
        <w:trPr>
          <w:tblHeader/>
        </w:trPr>
        <w:tc>
          <w:tcPr>
            <w:tcW w:type="dxa" w:w="30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Goal</w:t>
            </w:r>
          </w:p>
        </w:tc>
        <w:tc>
          <w:tcPr>
            <w:tcW w:type="dxa" w:w="63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Benefit</w:t>
            </w:r>
          </w:p>
        </w:tc>
      </w:tr>
      <w:tr>
        <w:tc>
          <w:tcPr>
            <w:tcW w:type="dxa" w:w="3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AI Integration</w:t>
            </w:r>
          </w:p>
        </w:tc>
        <w:tc>
          <w:tcPr>
            <w:tcW w:type="dxa" w:w="63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Improve campaign optimization</w:t>
            </w:r>
          </w:p>
        </w:tc>
      </w:tr>
      <w:tr>
        <w:tc>
          <w:tcPr>
            <w:tcW w:type="dxa" w:w="3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Multi-Region Deployment</w:t>
            </w:r>
          </w:p>
        </w:tc>
        <w:tc>
          <w:tcPr>
            <w:tcW w:type="dxa" w:w="63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Improve availability and disaster recovery</w:t>
            </w:r>
          </w:p>
        </w:tc>
      </w:tr>
      <w:tr>
        <w:tc>
          <w:tcPr>
            <w:tcW w:type="dxa" w:w="30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Multi-Cloud Readiness</w:t>
            </w:r>
          </w:p>
        </w:tc>
        <w:tc>
          <w:tcPr>
            <w:tcW w:type="dxa" w:w="63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Reduce cloud provider dependency</w:t>
            </w:r>
          </w:p>
        </w:tc>
      </w:tr>
      <w:tr>
        <w:tc>
          <w:tcPr>
            <w:tcW w:type="dxa" w:w="30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Advanced Analytics</w:t>
            </w:r>
          </w:p>
        </w:tc>
        <w:tc>
          <w:tcPr>
            <w:tcW w:type="dxa" w:w="63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Deliver richer business insights</w:t>
            </w:r>
          </w:p>
        </w:tc>
      </w:tr>
    </w:tbl>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14. Challenges and Trade-offs</w:t>
      </w:r>
    </w:p>
    <w:p>
      <w:pPr>
        <w:spacing w:after="160" w:line="276"/>
      </w:pPr>
      <w:r>
        <w:rPr>
          <w:rFonts w:ascii="Calibri" w:cs="Calibri" w:eastAsia="Calibri" w:hAnsi="Calibri"/>
          <w:b w:val="false"/>
          <w:bCs w:val="false"/>
          <w:i w:val="false"/>
          <w:iCs w:val="false"/>
          <w:sz w:val="22"/>
          <w:szCs w:val="22"/>
        </w:rPr>
        <w:t xml:space="preserve">This chapter anticipates potential challenges in the platform and explains the trade-offs consciously made between real-time performance, data accuracy, operational complexity, and cost.</w:t>
      </w:r>
    </w:p>
    <w:p>
      <w:pPr>
        <w:pStyle w:val="Heading2"/>
        <w:spacing w:after="130" w:before="260"/>
      </w:pPr>
      <w:r>
        <w:rPr>
          <w:rFonts w:ascii="Calibri" w:cs="Calibri" w:eastAsia="Calibri" w:hAnsi="Calibri"/>
          <w:b/>
          <w:bCs/>
          <w:color w:val="2E74B5"/>
          <w:sz w:val="25"/>
          <w:szCs w:val="25"/>
        </w:rPr>
        <w:t xml:space="preserve">14.1 Real-Time Performance vs. Data Accuracy</w:t>
      </w:r>
    </w:p>
    <w:p>
      <w:pPr>
        <w:spacing w:after="160" w:line="276"/>
      </w:pPr>
      <w:r>
        <w:rPr>
          <w:rFonts w:ascii="Calibri" w:cs="Calibri" w:eastAsia="Calibri" w:hAnsi="Calibri"/>
          <w:b w:val="false"/>
          <w:bCs w:val="false"/>
          <w:i w:val="false"/>
          <w:iCs w:val="false"/>
          <w:sz w:val="22"/>
          <w:szCs w:val="22"/>
        </w:rPr>
        <w:t xml:space="preserve">Pub/Sub delivers events at-least-once, not exactly-once. Under network failures or consumer restarts, the same event can be delivered twice. Processing it twice would double-count a click.</w:t>
      </w:r>
    </w:p>
    <w:p>
      <w:pPr>
        <w:pStyle w:val="ListParagraph"/>
        <w:numPr>
          <w:ilvl w:val="0"/>
          <w:numId w:val="2"/>
        </w:numPr>
        <w:spacing w:after="90" w:line="270"/>
      </w:pPr>
      <w:r>
        <w:rPr>
          <w:rFonts w:ascii="Calibri" w:cs="Calibri" w:eastAsia="Calibri" w:hAnsi="Calibri"/>
          <w:sz w:val="22"/>
          <w:szCs w:val="22"/>
        </w:rPr>
        <w:t xml:space="preserve">Chosen resolution: Idempotent event handlers using CorrelationId as a deduplication key. This adds a Redis lookup per event but eliminates double-counting.</w:t>
      </w:r>
    </w:p>
    <w:p>
      <w:pPr>
        <w:pStyle w:val="ListParagraph"/>
        <w:numPr>
          <w:ilvl w:val="0"/>
          <w:numId w:val="2"/>
        </w:numPr>
        <w:spacing w:after="90" w:line="270"/>
      </w:pPr>
      <w:r>
        <w:rPr>
          <w:rFonts w:ascii="Calibri" w:cs="Calibri" w:eastAsia="Calibri" w:hAnsi="Calibri"/>
          <w:sz w:val="22"/>
          <w:szCs w:val="22"/>
        </w:rPr>
        <w:t xml:space="preserve">Alternative rejected: Exactly-once processing via distributed transactions. This guarantees accuracy but adds significant latency (two-phase commit across SQL Server and Pub/Sub acknowledgement) and reduces throughput under load.</w:t>
      </w:r>
    </w:p>
    <w:p>
      <w:pPr>
        <w:spacing w:after="140"/>
      </w:pPr>
    </w:p>
    <w:p>
      <w:pPr>
        <w:pStyle w:val="Heading2"/>
        <w:spacing w:after="130" w:before="260"/>
      </w:pPr>
      <w:r>
        <w:rPr>
          <w:rFonts w:ascii="Calibri" w:cs="Calibri" w:eastAsia="Calibri" w:hAnsi="Calibri"/>
          <w:b/>
          <w:bCs/>
          <w:color w:val="2E74B5"/>
          <w:sz w:val="25"/>
          <w:szCs w:val="25"/>
        </w:rPr>
        <w:t xml:space="preserve">14.2 SQL Server vs. NoSQL for Raw Event Storage</w:t>
      </w:r>
    </w:p>
    <w:p>
      <w:pPr>
        <w:spacing w:after="160" w:line="276"/>
      </w:pPr>
      <w:r>
        <w:rPr>
          <w:rFonts w:ascii="Calibri" w:cs="Calibri" w:eastAsia="Calibri" w:hAnsi="Calibri"/>
          <w:b w:val="false"/>
          <w:bCs w:val="false"/>
          <w:i w:val="false"/>
          <w:iCs w:val="false"/>
          <w:sz w:val="22"/>
          <w:szCs w:val="22"/>
        </w:rPr>
        <w:t xml:space="preserve">SQL Server provides ACID transactions and a familiar operational model, but its write throughput is lower than purpose-built event stores like Cassandra or DynamoDB at extreme scale.</w:t>
      </w:r>
    </w:p>
    <w:p>
      <w:pPr>
        <w:pStyle w:val="ListParagraph"/>
        <w:numPr>
          <w:ilvl w:val="0"/>
          <w:numId w:val="2"/>
        </w:numPr>
        <w:spacing w:after="90" w:line="270"/>
      </w:pPr>
      <w:r>
        <w:rPr>
          <w:rFonts w:ascii="Calibri" w:cs="Calibri" w:eastAsia="Calibri" w:hAnsi="Calibri"/>
          <w:sz w:val="22"/>
          <w:szCs w:val="22"/>
        </w:rPr>
        <w:t xml:space="preserve">Chosen resolution: SQL Server with horizontal sharding by TenantId for the first phase. The IRawEventStore interface isolates this decision, so migrating to Cassandra later is an infrastructure change, not a business logic change.</w:t>
      </w:r>
    </w:p>
    <w:p>
      <w:pPr>
        <w:pStyle w:val="ListParagraph"/>
        <w:numPr>
          <w:ilvl w:val="0"/>
          <w:numId w:val="2"/>
        </w:numPr>
        <w:spacing w:after="90" w:line="270"/>
      </w:pPr>
      <w:r>
        <w:rPr>
          <w:rFonts w:ascii="Calibri" w:cs="Calibri" w:eastAsia="Calibri" w:hAnsi="Calibri"/>
          <w:sz w:val="22"/>
          <w:szCs w:val="22"/>
        </w:rPr>
        <w:t xml:space="preserve">Trigger to revisit: when single SQL Server instance write throughput exceeds 80% capacity at peak load.</w:t>
      </w:r>
    </w:p>
    <w:p>
      <w:pPr>
        <w:spacing w:after="140"/>
      </w:pPr>
    </w:p>
    <w:p>
      <w:pPr>
        <w:pStyle w:val="Heading2"/>
        <w:spacing w:after="130" w:before="260"/>
      </w:pPr>
      <w:r>
        <w:rPr>
          <w:rFonts w:ascii="Calibri" w:cs="Calibri" w:eastAsia="Calibri" w:hAnsi="Calibri"/>
          <w:b/>
          <w:bCs/>
          <w:color w:val="2E74B5"/>
          <w:sz w:val="25"/>
          <w:szCs w:val="25"/>
        </w:rPr>
        <w:t xml:space="preserve">14.3 Eventual Consistency in the Analytics Pipeline</w:t>
      </w:r>
    </w:p>
    <w:p>
      <w:pPr>
        <w:spacing w:after="160" w:line="276"/>
      </w:pPr>
      <w:r>
        <w:rPr>
          <w:rFonts w:ascii="Calibri" w:cs="Calibri" w:eastAsia="Calibri" w:hAnsi="Calibri"/>
          <w:b w:val="false"/>
          <w:bCs w:val="false"/>
          <w:i w:val="false"/>
          <w:iCs w:val="false"/>
          <w:sz w:val="22"/>
          <w:szCs w:val="22"/>
        </w:rPr>
        <w:t xml:space="preserve">The path from event ingestion to a readable metric involves four steps: Collector persists, Pub/Sub delivers, Processor enriches, Aggregator writes. Each step adds latency. A marketer querying immediately after an event fires may not see it reflected for several seconds.</w:t>
      </w:r>
    </w:p>
    <w:p>
      <w:pPr>
        <w:pStyle w:val="ListParagraph"/>
        <w:numPr>
          <w:ilvl w:val="0"/>
          <w:numId w:val="2"/>
        </w:numPr>
        <w:spacing w:after="90" w:line="270"/>
      </w:pPr>
      <w:r>
        <w:rPr>
          <w:rFonts w:ascii="Calibri" w:cs="Calibri" w:eastAsia="Calibri" w:hAnsi="Calibri"/>
          <w:sz w:val="22"/>
          <w:szCs w:val="22"/>
        </w:rPr>
        <w:t xml:space="preserve">Chosen resolution: Near-real-time is sufficient for campaign reporting. Metrics dashboards do not need sub-second accuracy. This allows each component to be independently scaled and deployed without synchronisation.</w:t>
      </w:r>
    </w:p>
    <w:p>
      <w:pPr>
        <w:pStyle w:val="ListParagraph"/>
        <w:numPr>
          <w:ilvl w:val="0"/>
          <w:numId w:val="2"/>
        </w:numPr>
        <w:spacing w:after="90" w:line="270"/>
      </w:pPr>
      <w:r>
        <w:rPr>
          <w:rFonts w:ascii="Calibri" w:cs="Calibri" w:eastAsia="Calibri" w:hAnsi="Calibri"/>
          <w:sz w:val="22"/>
          <w:szCs w:val="22"/>
        </w:rPr>
        <w:t xml:space="preserve">Not appropriate for: billing or financial reporting, which would require stronger consistency guarantees.</w:t>
      </w:r>
    </w:p>
    <w:p>
      <w:pPr>
        <w:spacing w:after="140"/>
      </w:pPr>
    </w:p>
    <w:p>
      <w:pPr>
        <w:pStyle w:val="Heading2"/>
        <w:spacing w:after="130" w:before="260"/>
      </w:pPr>
      <w:r>
        <w:rPr>
          <w:rFonts w:ascii="Calibri" w:cs="Calibri" w:eastAsia="Calibri" w:hAnsi="Calibri"/>
          <w:b/>
          <w:bCs/>
          <w:color w:val="2E74B5"/>
          <w:sz w:val="25"/>
          <w:szCs w:val="25"/>
        </w:rPr>
        <w:t xml:space="preserve">14.4 Shared Platform vs. Dedicated Infrastructure per Tenant</w:t>
      </w:r>
    </w:p>
    <w:p>
      <w:pPr>
        <w:spacing w:after="160" w:line="276"/>
      </w:pPr>
      <w:r>
        <w:rPr>
          <w:rFonts w:ascii="Calibri" w:cs="Calibri" w:eastAsia="Calibri" w:hAnsi="Calibri"/>
          <w:b w:val="false"/>
          <w:bCs w:val="false"/>
          <w:i w:val="false"/>
          <w:iCs w:val="false"/>
          <w:sz w:val="22"/>
          <w:szCs w:val="22"/>
        </w:rPr>
        <w:t xml:space="preserve">A shared platform (one Pub/Sub topic, one GKE cluster) reduces cost but introduces the noisy neighbour problem, where one high-volume tenant degrades processing for others.</w:t>
      </w:r>
    </w:p>
    <w:p>
      <w:pPr>
        <w:pStyle w:val="ListParagraph"/>
        <w:numPr>
          <w:ilvl w:val="0"/>
          <w:numId w:val="2"/>
        </w:numPr>
        <w:spacing w:after="90" w:line="270"/>
      </w:pPr>
      <w:r>
        <w:rPr>
          <w:rFonts w:ascii="Calibri" w:cs="Calibri" w:eastAsia="Calibri" w:hAnsi="Calibri"/>
          <w:sz w:val="22"/>
          <w:szCs w:val="22"/>
        </w:rPr>
        <w:t xml:space="preserve">Chosen resolution: Rate limiting per tenant at the Collector layer controls event volume. Pub/Sub partitioning by TenantId ensures fair scheduling. Resource quotas at the GKE namespace level isolate compute.</w:t>
      </w:r>
    </w:p>
    <w:p>
      <w:pPr>
        <w:spacing w:after="140"/>
      </w:pPr>
    </w:p>
    <w:p>
      <w:pPr>
        <w:pStyle w:val="Heading2"/>
        <w:spacing w:after="130" w:before="260"/>
      </w:pPr>
      <w:r>
        <w:rPr>
          <w:rFonts w:ascii="Calibri" w:cs="Calibri" w:eastAsia="Calibri" w:hAnsi="Calibri"/>
          <w:b/>
          <w:bCs/>
          <w:color w:val="2E74B5"/>
          <w:sz w:val="25"/>
          <w:szCs w:val="25"/>
        </w:rPr>
        <w:t xml:space="preserve">14.6 Live Cache Counters vs. Disposable Cache with TTL</w:t>
      </w:r>
    </w:p>
    <w:p>
      <w:pPr>
        <w:spacing w:after="160" w:line="276"/>
      </w:pPr>
      <w:r>
        <w:rPr>
          <w:rFonts w:ascii="Calibri" w:cs="Calibri" w:eastAsia="Calibri" w:hAnsi="Calibri"/>
          <w:b w:val="false"/>
          <w:bCs w:val="false"/>
          <w:i w:val="false"/>
          <w:iCs w:val="false"/>
          <w:sz w:val="22"/>
          <w:szCs w:val="22"/>
        </w:rPr>
        <w:t xml:space="preserve">Campaign metrics could be served from a disposable cache that is periodically re-fetched from the analytics store on a timer, or from Redis counters that are updated atomically on every event and treated as the live source of truth for real-time queries.</w:t>
      </w:r>
    </w:p>
    <w:p>
      <w:pPr>
        <w:pStyle w:val="ListParagraph"/>
        <w:numPr>
          <w:ilvl w:val="0"/>
          <w:numId w:val="2"/>
        </w:numPr>
        <w:spacing w:after="90" w:line="270"/>
      </w:pPr>
      <w:r>
        <w:rPr>
          <w:rFonts w:ascii="Calibri" w:cs="Calibri" w:eastAsia="Calibri" w:hAnsi="Calibri"/>
          <w:sz w:val="22"/>
          <w:szCs w:val="22"/>
        </w:rPr>
        <w:t xml:space="preserve">Chosen resolution: Atomic Redis counters as the live source of truth, incremented directly by the Aggregator on every event, backed by a startup recovery process that re-seeds counters from the last durable snapshot if the cache is found empty. This removes read staleness entirely under normal operation and removes TTL tuning as an ongoing cost lever.</w:t>
      </w:r>
    </w:p>
    <w:p>
      <w:pPr>
        <w:pStyle w:val="ListParagraph"/>
        <w:numPr>
          <w:ilvl w:val="0"/>
          <w:numId w:val="2"/>
        </w:numPr>
        <w:spacing w:after="90" w:line="270"/>
      </w:pPr>
      <w:r>
        <w:rPr>
          <w:rFonts w:ascii="Calibri" w:cs="Calibri" w:eastAsia="Calibri" w:hAnsi="Calibri"/>
          <w:sz w:val="22"/>
          <w:szCs w:val="22"/>
        </w:rPr>
        <w:t xml:space="preserve">Alternative rejected: A disposable cache re-fetched on a fixed TTL. Simpler to reason about and requires no recovery mechanism, but bounds freshness to an arbitrary time window rather than being genuinely live, and does not remove the underlying risk of a lost read-modify-write race the way an atomic counter does.</w:t>
      </w:r>
    </w:p>
    <w:p>
      <w:pPr>
        <w:pStyle w:val="ListParagraph"/>
        <w:numPr>
          <w:ilvl w:val="0"/>
          <w:numId w:val="2"/>
        </w:numPr>
        <w:spacing w:after="90" w:line="270"/>
      </w:pPr>
      <w:r>
        <w:rPr>
          <w:rFonts w:ascii="Calibri" w:cs="Calibri" w:eastAsia="Calibri" w:hAnsi="Calibri"/>
          <w:sz w:val="22"/>
          <w:szCs w:val="22"/>
        </w:rPr>
        <w:t xml:space="preserve">Trade-off accepted: live counters require an explicit recovery mechanism to survive a cache restart, which is more moving parts than a simple TTL re-fetch. The recovery service exists specifically to carry this cost.</w:t>
      </w:r>
    </w:p>
    <w:p>
      <w:r>
        <w:br w:type="page"/>
      </w:r>
    </w:p>
    <w:p>
      <w:pPr>
        <w:pStyle w:val="Heading1"/>
        <w:pBdr>
          <w:bottom w:val="single" w:color="2E74B5" w:sz="8" w:space="4"/>
        </w:pBdr>
        <w:spacing w:after="220" w:before="420"/>
      </w:pPr>
      <w:r>
        <w:rPr>
          <w:rFonts w:ascii="Calibri" w:cs="Calibri" w:eastAsia="Calibri" w:hAnsi="Calibri"/>
          <w:b/>
          <w:bCs/>
          <w:color w:val="1F3864"/>
          <w:sz w:val="32"/>
          <w:szCs w:val="32"/>
        </w:rPr>
        <w:t xml:space="preserve">15. Conclusion</w:t>
      </w:r>
    </w:p>
    <w:p>
      <w:pPr>
        <w:spacing w:after="160" w:line="276"/>
      </w:pPr>
      <w:r>
        <w:rPr>
          <w:rFonts w:ascii="Calibri" w:cs="Calibri" w:eastAsia="Calibri" w:hAnsi="Calibri"/>
          <w:b w:val="false"/>
          <w:bCs w:val="false"/>
          <w:i w:val="false"/>
          <w:iCs w:val="false"/>
          <w:sz w:val="22"/>
          <w:szCs w:val="22"/>
        </w:rPr>
        <w:t xml:space="preserve">The proposed architecture is designed to balance scalability, maintainability, and operational simplicity while supporting billions of customer interaction events per day. By combining asynchronous event processing, multi-tenant isolation, CQRS-inspired data separation, and managed cloud services, the platform provides a scalable foundation that can evolve incrementally as business requirements grow. The architecture leverages managed Google Cloud Platform services together with .NET, SQL Server, Redis, and BigQuery to deliver a maintainable and extensible solution aligned with current business requirements and future growth.</w:t>
      </w:r>
    </w:p>
    <w:p>
      <w:pPr>
        <w:pStyle w:val="Heading2"/>
        <w:spacing w:after="130" w:before="260"/>
      </w:pPr>
      <w:r>
        <w:rPr>
          <w:rFonts w:ascii="Calibri" w:cs="Calibri" w:eastAsia="Calibri" w:hAnsi="Calibri"/>
          <w:b/>
          <w:bCs/>
          <w:color w:val="2E74B5"/>
          <w:sz w:val="25"/>
          <w:szCs w:val="25"/>
        </w:rPr>
        <w:t xml:space="preserve">Solution Summary</w:t>
      </w:r>
    </w:p>
    <w:tbl>
      <w:tblPr>
        <w:tblW w:type="dxa" w:w="972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720"/>
      </w:tblGrid>
      <w:tr>
        <w:trPr>
          <w:tblHeader/>
        </w:trPr>
        <w:tc>
          <w:tcPr>
            <w:tcW w:type="dxa" w:w="260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Area</w:t>
            </w:r>
          </w:p>
        </w:tc>
        <w:tc>
          <w:tcPr>
            <w:tcW w:type="dxa" w:w="6720"/>
            <w:shd w:fill="1F3864" w:val="clear"/>
            <w:tcMar>
              <w:top w:type="dxa" w:w="100"/>
              <w:left w:type="dxa" w:w="120"/>
              <w:bottom w:type="dxa" w:w="100"/>
              <w:right w:type="dxa" w:w="120"/>
            </w:tcMar>
          </w:tcPr>
          <w:p>
            <w:r>
              <w:rPr>
                <w:rFonts w:ascii="Calibri" w:cs="Calibri" w:eastAsia="Calibri" w:hAnsi="Calibri"/>
                <w:b/>
                <w:bCs/>
                <w:color w:val="FFFFFF"/>
                <w:sz w:val="20"/>
                <w:szCs w:val="20"/>
              </w:rPr>
              <w:t xml:space="preserve">Proposed Solution</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Architecture</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Hybrid (REST + Event-Driven)</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Cloud Platform</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Google Cloud Platform</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Backend</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.NET / C#</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Messaging</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Google Pub/Sub</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Operational Database</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SQL Server</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Cache</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Redis</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Analytics</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BigQuery</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Deployment</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Google Kubernetes Engine</w:t>
            </w:r>
          </w:p>
        </w:tc>
      </w:tr>
      <w:tr>
        <w:tc>
          <w:tcPr>
            <w:tcW w:type="dxa" w:w="260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Security</w:t>
            </w:r>
          </w:p>
        </w:tc>
        <w:tc>
          <w:tcPr>
            <w:tcW w:type="dxa" w:w="6720"/>
            <w:shd w:fill="FFFFFF" w:val="clear"/>
            <w:tcMar>
              <w:top w:type="dxa" w:w="90"/>
              <w:left w:type="dxa" w:w="120"/>
              <w:bottom w:type="dxa" w:w="90"/>
              <w:right w:type="dxa" w:w="120"/>
            </w:tcMar>
          </w:tcPr>
          <w:p>
            <w:pPr>
              <w:spacing w:line="260"/>
            </w:pPr>
            <w:r>
              <w:rPr>
                <w:rFonts w:ascii="Calibri" w:cs="Calibri" w:eastAsia="Calibri" w:hAnsi="Calibri"/>
                <w:sz w:val="20"/>
                <w:szCs w:val="20"/>
              </w:rPr>
              <w:t xml:space="preserve">OAuth 2.0, JWT, RBAC</w:t>
            </w:r>
          </w:p>
        </w:tc>
      </w:tr>
      <w:tr>
        <w:tc>
          <w:tcPr>
            <w:tcW w:type="dxa" w:w="260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Observability</w:t>
            </w:r>
          </w:p>
        </w:tc>
        <w:tc>
          <w:tcPr>
            <w:tcW w:type="dxa" w:w="6720"/>
            <w:shd w:fill="F2F7FC" w:val="clear"/>
            <w:tcMar>
              <w:top w:type="dxa" w:w="90"/>
              <w:left w:type="dxa" w:w="120"/>
              <w:bottom w:type="dxa" w:w="90"/>
              <w:right w:type="dxa" w:w="120"/>
            </w:tcMar>
          </w:tcPr>
          <w:p>
            <w:pPr>
              <w:spacing w:line="260"/>
            </w:pPr>
            <w:r>
              <w:rPr>
                <w:rFonts w:ascii="Calibri" w:cs="Calibri" w:eastAsia="Calibri" w:hAnsi="Calibri"/>
                <w:sz w:val="20"/>
                <w:szCs w:val="20"/>
              </w:rPr>
              <w:t xml:space="preserve">Cloud Monitoring, Cloud Logging, Open Telemetry</w:t>
            </w:r>
          </w:p>
        </w:tc>
      </w:tr>
    </w:tbl>
    <w:p>
      <w:pPr>
        <w:pStyle w:val="Heading2"/>
        <w:spacing w:after="130" w:before="260"/>
      </w:pPr>
      <w:r>
        <w:rPr>
          <w:rFonts w:ascii="Calibri" w:cs="Calibri" w:eastAsia="Calibri" w:hAnsi="Calibri"/>
          <w:b/>
          <w:bCs/>
          <w:color w:val="2E74B5"/>
          <w:sz w:val="25"/>
          <w:szCs w:val="25"/>
        </w:rPr>
        <w:t xml:space="preserve">Key Outcomes</w:t>
      </w:r>
    </w:p>
    <w:p>
      <w:pPr>
        <w:pStyle w:val="ListParagraph"/>
        <w:numPr>
          <w:ilvl w:val="0"/>
          <w:numId w:val="2"/>
        </w:numPr>
        <w:spacing w:after="90" w:line="270"/>
      </w:pPr>
      <w:r>
        <w:rPr>
          <w:rFonts w:ascii="Calibri" w:cs="Calibri" w:eastAsia="Calibri" w:hAnsi="Calibri"/>
          <w:sz w:val="22"/>
          <w:szCs w:val="22"/>
        </w:rPr>
        <w:t xml:space="preserve">Cloud-native and scalable architecture.</w:t>
      </w:r>
    </w:p>
    <w:p>
      <w:pPr>
        <w:pStyle w:val="ListParagraph"/>
        <w:numPr>
          <w:ilvl w:val="0"/>
          <w:numId w:val="2"/>
        </w:numPr>
        <w:spacing w:after="90" w:line="270"/>
      </w:pPr>
      <w:r>
        <w:rPr>
          <w:rFonts w:ascii="Calibri" w:cs="Calibri" w:eastAsia="Calibri" w:hAnsi="Calibri"/>
          <w:sz w:val="22"/>
          <w:szCs w:val="22"/>
        </w:rPr>
        <w:t xml:space="preserve">Secure multi-tenant platform.</w:t>
      </w:r>
    </w:p>
    <w:p>
      <w:pPr>
        <w:pStyle w:val="ListParagraph"/>
        <w:numPr>
          <w:ilvl w:val="0"/>
          <w:numId w:val="2"/>
        </w:numPr>
        <w:spacing w:after="90" w:line="270"/>
      </w:pPr>
      <w:r>
        <w:rPr>
          <w:rFonts w:ascii="Calibri" w:cs="Calibri" w:eastAsia="Calibri" w:hAnsi="Calibri"/>
          <w:sz w:val="22"/>
          <w:szCs w:val="22"/>
        </w:rPr>
        <w:t xml:space="preserve">Near real-time event processing.</w:t>
      </w:r>
    </w:p>
    <w:p>
      <w:pPr>
        <w:pStyle w:val="ListParagraph"/>
        <w:numPr>
          <w:ilvl w:val="0"/>
          <w:numId w:val="2"/>
        </w:numPr>
        <w:spacing w:after="90" w:line="270"/>
      </w:pPr>
      <w:r>
        <w:rPr>
          <w:rFonts w:ascii="Calibri" w:cs="Calibri" w:eastAsia="Calibri" w:hAnsi="Calibri"/>
          <w:sz w:val="22"/>
          <w:szCs w:val="22"/>
        </w:rPr>
        <w:t xml:space="preserve">Operational and analytical workload separation.</w:t>
      </w:r>
    </w:p>
    <w:p>
      <w:pPr>
        <w:pStyle w:val="ListParagraph"/>
        <w:numPr>
          <w:ilvl w:val="0"/>
          <w:numId w:val="2"/>
        </w:numPr>
        <w:spacing w:after="90" w:line="270"/>
      </w:pPr>
      <w:r>
        <w:rPr>
          <w:rFonts w:ascii="Calibri" w:cs="Calibri" w:eastAsia="Calibri" w:hAnsi="Calibri"/>
          <w:sz w:val="22"/>
          <w:szCs w:val="22"/>
        </w:rPr>
        <w:t xml:space="preserve">Production-ready deployment model.</w:t>
      </w:r>
    </w:p>
    <w:p>
      <w:pPr>
        <w:pStyle w:val="ListParagraph"/>
        <w:numPr>
          <w:ilvl w:val="0"/>
          <w:numId w:val="2"/>
        </w:numPr>
        <w:spacing w:after="90" w:line="270"/>
      </w:pPr>
      <w:r>
        <w:rPr>
          <w:rFonts w:ascii="Calibri" w:cs="Calibri" w:eastAsia="Calibri" w:hAnsi="Calibri"/>
          <w:sz w:val="22"/>
          <w:szCs w:val="22"/>
        </w:rPr>
        <w:t xml:space="preserve">Extensible foundation for future capabilities.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of </w:t>
    </w:r>
    <w:r>
      <w:rPr>
        <w:rFonts w:ascii="Calibri" w:cs="Calibri" w:eastAsia="Calibri" w:hAnsi="Calibri"/>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Retail Media Intelligence Platform — Architecture Design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dfec995caf8c3e6dcf959c980c6833eca409a9c.png"/><Relationship Id="rId10" Type="http://schemas.openxmlformats.org/officeDocument/2006/relationships/image" Target="media/da7ec5a837984a72c7a23bb20bf07154325208cb.png"/><Relationship Id="rId11" Type="http://schemas.openxmlformats.org/officeDocument/2006/relationships/image" Target="media/904bbe77a33c12fcb1b44aef901f22bc860d8d89.png"/><Relationship Id="rId12" Type="http://schemas.openxmlformats.org/officeDocument/2006/relationships/image" Target="media/2b88f82ee85ee07a5d0fe5dc554d8072d59471f3.png"/><Relationship Id="rId13" Type="http://schemas.openxmlformats.org/officeDocument/2006/relationships/image" Target="media/074777e0dd9d548f935228a81e7362b893cbbf8c.png"/><Relationship Id="rId14" Type="http://schemas.openxmlformats.org/officeDocument/2006/relationships/image" Target="media/fc239bf4642de34ad0a15b471138deeffae46be8.png"/><Relationship Id="rId15" Type="http://schemas.openxmlformats.org/officeDocument/2006/relationships/image" Target="media/d07b11632b8404cfb6f913c0cd6dd1ad4d0748af.png"/><Relationship Id="rId16" Type="http://schemas.openxmlformats.org/officeDocument/2006/relationships/image" Target="media/00a3b181f9cad416599205479b716c64b91fb538.png"/><Relationship Id="rId17" Type="http://schemas.openxmlformats.org/officeDocument/2006/relationships/image" Target="media/2ddc1c9f3e4429cb9cdbca5d07ab971c6e30c196.png"/><Relationship Id="rId18" Type="http://schemas.openxmlformats.org/officeDocument/2006/relationships/image" Target="media/05f4c2634f41f2d2a7e72aa65b5f585492e2978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2026-07-11T14:53:01.221Z</dcterms:created>
  <dcterms:modified xsi:type="dcterms:W3CDTF">2026-07-11T14:53:01.230Z</dcterms:modified>
</cp:coreProperties>
</file>

<file path=docProps/custom.xml><?xml version="1.0" encoding="utf-8"?>
<Properties xmlns="http://schemas.openxmlformats.org/officeDocument/2006/custom-properties" xmlns:vt="http://schemas.openxmlformats.org/officeDocument/2006/docPropsVTypes"/>
</file>