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B52DD" w:rsidRDefault="000B52DD">
      <w:pPr>
        <w:spacing w:before="1800"/>
      </w:pPr>
    </w:p>
    <w:p w:rsidR="000B52DD" w:rsidRDefault="001B0FA8">
      <w:pPr>
        <w:jc w:val="center"/>
      </w:pPr>
      <w:r>
        <w:rPr>
          <w:rFonts w:ascii="Calibri" w:eastAsia="Calibri" w:hAnsi="Calibri" w:cs="Calibri"/>
          <w:b/>
          <w:bCs/>
          <w:color w:val="1F3864"/>
          <w:sz w:val="52"/>
          <w:szCs w:val="52"/>
        </w:rPr>
        <w:t>Architecture Design Proposal</w:t>
      </w:r>
    </w:p>
    <w:p w:rsidR="000B52DD" w:rsidRDefault="001B0FA8">
      <w:pPr>
        <w:spacing w:before="200" w:after="400"/>
        <w:jc w:val="center"/>
      </w:pPr>
      <w:r>
        <w:rPr>
          <w:rFonts w:ascii="Calibri" w:eastAsia="Calibri" w:hAnsi="Calibri" w:cs="Calibri"/>
          <w:color w:val="2E74B5"/>
          <w:sz w:val="30"/>
          <w:szCs w:val="30"/>
        </w:rPr>
        <w:t>Retail Media Intelligence Platform</w:t>
      </w:r>
    </w:p>
    <w:p w:rsidR="000B52DD" w:rsidRDefault="001B0FA8" w:rsidP="002050D0">
      <w:pPr>
        <w:spacing w:after="40"/>
        <w:jc w:val="center"/>
      </w:pPr>
      <w:r>
        <w:rPr>
          <w:rFonts w:ascii="Calibri" w:eastAsia="Calibri" w:hAnsi="Calibri" w:cs="Calibri"/>
          <w:color w:val="595959"/>
          <w:sz w:val="22"/>
          <w:szCs w:val="22"/>
        </w:rPr>
        <w:t xml:space="preserve">Prepared by: </w:t>
      </w:r>
      <w:r w:rsidR="002050D0">
        <w:rPr>
          <w:rFonts w:ascii="Calibri" w:eastAsia="Calibri" w:hAnsi="Calibri" w:cs="Calibri"/>
          <w:color w:val="595959"/>
          <w:sz w:val="22"/>
          <w:szCs w:val="22"/>
        </w:rPr>
        <w:t>Bhuvnesh</w:t>
      </w:r>
      <w:r>
        <w:rPr>
          <w:rFonts w:ascii="Calibri" w:eastAsia="Calibri" w:hAnsi="Calibri" w:cs="Calibri"/>
          <w:color w:val="595959"/>
          <w:sz w:val="22"/>
          <w:szCs w:val="22"/>
        </w:rPr>
        <w:t xml:space="preserve"> Dixit</w:t>
      </w:r>
      <w:r>
        <w:br w:type="page"/>
      </w:r>
    </w:p>
    <w:p w:rsidR="000B52DD" w:rsidRDefault="001B0FA8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Table of Contents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1. Executive Summary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2. Business Context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3. Requirements Engineering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4. Capacity Planning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5. Architecture Principles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6. Solution Overview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7. End-to-End Data Flow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8. Deployment Architecture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9. Security Architecture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10. Data Architecture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11. Observability &amp; Reliability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12. Technology Decisions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13. Future Roadmap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14. Challenge</w:t>
      </w:r>
      <w:r>
        <w:rPr>
          <w:rFonts w:ascii="Calibri" w:eastAsia="Calibri" w:hAnsi="Calibri" w:cs="Calibri"/>
          <w:sz w:val="22"/>
          <w:szCs w:val="22"/>
        </w:rPr>
        <w:t>s and Trade-offs</w:t>
      </w:r>
    </w:p>
    <w:p w:rsidR="000B52DD" w:rsidRDefault="001B0FA8">
      <w:pPr>
        <w:spacing w:after="100"/>
      </w:pPr>
      <w:r>
        <w:rPr>
          <w:rFonts w:ascii="Calibri" w:eastAsia="Calibri" w:hAnsi="Calibri" w:cs="Calibri"/>
          <w:sz w:val="22"/>
          <w:szCs w:val="22"/>
        </w:rPr>
        <w:t>15. Conclusion</w:t>
      </w:r>
    </w:p>
    <w:p w:rsidR="000B52DD" w:rsidRPr="00870E8D" w:rsidRDefault="001B0FA8" w:rsidP="00870E8D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1. Executive Summary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his document presents the proposed architecture for a Retail Media Intelligence Platform that enables retailers to collect customer interaction events, process them in near real time, and provide campaign performance insights to advertisers.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solution </w:t>
      </w:r>
      <w:r>
        <w:rPr>
          <w:rFonts w:ascii="Calibri" w:eastAsia="Calibri" w:hAnsi="Calibri" w:cs="Calibri"/>
          <w:sz w:val="22"/>
          <w:szCs w:val="22"/>
        </w:rPr>
        <w:t>is designed as a cloud-native, multi-tenant platform on Google Cloud Platform (GCP) using .NET, SQL Server, Redis, and BigQuery. It combines synchronous APIs with asynchronous event processing to achieve scalability, resilience, and operational simplicity.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Objectives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7"/>
        <w:gridCol w:w="7113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Objective</w:t>
            </w:r>
          </w:p>
        </w:tc>
        <w:tc>
          <w:tcPr>
            <w:tcW w:w="68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Handle high-volume event ingestion through horizontal scaling.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Protect platform and customer data.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Multi-Tenancy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Support multiple retailers on a shared platform.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Reliability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Ensure continuous processing with fault tolerance.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Extensibility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Support future business growth with minimal redesign.</w:t>
            </w:r>
          </w:p>
        </w:tc>
      </w:tr>
    </w:tbl>
    <w:p w:rsidR="000B52DD" w:rsidRDefault="000B52DD">
      <w:pPr>
        <w:spacing w:after="16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Technology Stack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7"/>
        <w:gridCol w:w="7113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lastRenderedPageBreak/>
              <w:t>Layer</w:t>
            </w:r>
          </w:p>
        </w:tc>
        <w:tc>
          <w:tcPr>
            <w:tcW w:w="68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Technology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Cloud Platform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Backend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.NET / C#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Database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Analytics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Messaging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Pub/Sub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Container Platform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Kubernetes Engine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High-Level Solution</w:t>
      </w:r>
    </w:p>
    <w:p w:rsidR="000B52DD" w:rsidRDefault="001B0FA8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1704975" cy="31337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Pr="00870E8D" w:rsidRDefault="001B0FA8" w:rsidP="00870E8D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2. Business Context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P</w:t>
      </w:r>
      <w:r>
        <w:rPr>
          <w:rFonts w:ascii="Calibri" w:eastAsia="Calibri" w:hAnsi="Calibri" w:cs="Calibri"/>
          <w:b/>
          <w:bCs/>
          <w:sz w:val="25"/>
          <w:szCs w:val="25"/>
        </w:rPr>
        <w:t>roblem Statement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Retailers generate a large volume of customer interaction events through their digital channels. Processing these events efficiently is essential to provide advertisers with timely campaign insights and performance metrics.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proposed platform addresses </w:t>
      </w:r>
      <w:r>
        <w:rPr>
          <w:rFonts w:ascii="Calibri" w:eastAsia="Calibri" w:hAnsi="Calibri" w:cs="Calibri"/>
          <w:sz w:val="22"/>
          <w:szCs w:val="22"/>
        </w:rPr>
        <w:t>this need by collecting, processing, and exposing campaign analytics through secure APIs while supporting multiple retailers on a shared platform.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Business Scope</w:t>
      </w:r>
    </w:p>
    <w:p w:rsidR="000B52DD" w:rsidRDefault="001B0FA8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In Scope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Customer event collection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Event processing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Campaign analytics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Secure APIs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Multi-tenant architecture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Cloud deployment</w:t>
      </w:r>
    </w:p>
    <w:p w:rsidR="000B52DD" w:rsidRDefault="000B52DD">
      <w:pPr>
        <w:spacing w:after="80"/>
      </w:pPr>
    </w:p>
    <w:p w:rsidR="000B52DD" w:rsidRDefault="001B0FA8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Out of Scope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AI recommendations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Fraud detection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Real-time bidding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Multi-region deployment</w:t>
      </w:r>
    </w:p>
    <w:p w:rsidR="000B52DD" w:rsidRDefault="000B52DD">
      <w:pPr>
        <w:spacing w:after="16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Stakeholders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0"/>
        <w:gridCol w:w="6800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Stakeholder</w:t>
            </w:r>
          </w:p>
        </w:tc>
        <w:tc>
          <w:tcPr>
            <w:tcW w:w="65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Responsibility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Retailer</w:t>
            </w:r>
          </w:p>
        </w:tc>
        <w:tc>
          <w:tcPr>
            <w:tcW w:w="65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Generates customer events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Advertiser</w:t>
            </w:r>
          </w:p>
        </w:tc>
        <w:tc>
          <w:tcPr>
            <w:tcW w:w="65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Consumes campaign insights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Platform Administrator</w:t>
            </w:r>
          </w:p>
        </w:tc>
        <w:tc>
          <w:tcPr>
            <w:tcW w:w="65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Operates the platform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8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Engineering Team</w:t>
            </w:r>
          </w:p>
        </w:tc>
        <w:tc>
          <w:tcPr>
            <w:tcW w:w="65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Develops and supports the solution</w:t>
            </w:r>
          </w:p>
        </w:tc>
      </w:tr>
    </w:tbl>
    <w:p w:rsidR="00657E7D" w:rsidRDefault="00657E7D" w:rsidP="00657E7D"/>
    <w:p w:rsidR="000B52DD" w:rsidRPr="003159F6" w:rsidRDefault="001B0FA8" w:rsidP="003159F6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3. Requirements Engineering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F</w:t>
      </w:r>
      <w:r>
        <w:rPr>
          <w:rFonts w:ascii="Calibri" w:eastAsia="Calibri" w:hAnsi="Calibri" w:cs="Calibri"/>
          <w:b/>
          <w:bCs/>
          <w:sz w:val="25"/>
          <w:szCs w:val="25"/>
        </w:rPr>
        <w:t>unctional Requirements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0"/>
        <w:gridCol w:w="8990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7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#</w:t>
            </w:r>
          </w:p>
        </w:tc>
        <w:tc>
          <w:tcPr>
            <w:tcW w:w="86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Requirement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1</w:t>
            </w:r>
          </w:p>
        </w:tc>
        <w:tc>
          <w:tcPr>
            <w:tcW w:w="8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Capture customer interaction events.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2</w:t>
            </w:r>
          </w:p>
        </w:tc>
        <w:tc>
          <w:tcPr>
            <w:tcW w:w="86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Process events in near real time.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3</w:t>
            </w:r>
          </w:p>
        </w:tc>
        <w:tc>
          <w:tcPr>
            <w:tcW w:w="8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Aggregate campaign metrics.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4</w:t>
            </w:r>
          </w:p>
        </w:tc>
        <w:tc>
          <w:tcPr>
            <w:tcW w:w="86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Expose campaign insights through secure REST APIs.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5</w:t>
            </w:r>
          </w:p>
        </w:tc>
        <w:tc>
          <w:tcPr>
            <w:tcW w:w="8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Support multiple retailers (multi-tenant).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7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6</w:t>
            </w:r>
          </w:p>
        </w:tc>
        <w:tc>
          <w:tcPr>
            <w:tcW w:w="86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Store operational and analytical data separately.</w:t>
            </w:r>
          </w:p>
        </w:tc>
      </w:tr>
    </w:tbl>
    <w:p w:rsidR="000B52DD" w:rsidRDefault="000B52DD">
      <w:pPr>
        <w:spacing w:after="16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lastRenderedPageBreak/>
        <w:t>Non-Functional Requirements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7"/>
        <w:gridCol w:w="7113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Category</w:t>
            </w:r>
          </w:p>
        </w:tc>
        <w:tc>
          <w:tcPr>
            <w:tcW w:w="68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Requirement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Independently scale ingestion, processing and API layers.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Availability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Highly available platform with no single point of failure.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Performance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 latency for event ingestion and dashboard APIs.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Authentication, authorization and encryption.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Observability</w:t>
            </w:r>
          </w:p>
        </w:tc>
        <w:tc>
          <w:tcPr>
            <w:tcW w:w="68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logging, monitoring and tracing.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5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Maintainability</w:t>
            </w:r>
          </w:p>
        </w:tc>
        <w:tc>
          <w:tcPr>
            <w:tcW w:w="68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Modular architecture with clear service responsibilities.</w:t>
            </w:r>
          </w:p>
        </w:tc>
      </w:tr>
    </w:tbl>
    <w:p w:rsidR="000B52DD" w:rsidRDefault="000B52DD">
      <w:pPr>
        <w:spacing w:after="16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Assumptions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Retailers integrate using REST APIs or SDKs.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Customer events are immutable.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Every request contains tenant information.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Near real-time processing is sufficient for business reporting.</w:t>
      </w:r>
    </w:p>
    <w:p w:rsidR="00870E8D" w:rsidRDefault="00870E8D" w:rsidP="00870E8D"/>
    <w:p w:rsidR="000B52DD" w:rsidRPr="003159F6" w:rsidRDefault="001B0FA8" w:rsidP="003159F6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4. Capacity Planning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following engineering assumptions are used to guide the architecture and infrastructure design.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Capacity Assumptions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6383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Metri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c</w:t>
            </w:r>
          </w:p>
        </w:tc>
        <w:tc>
          <w:tcPr>
            <w:tcW w:w="61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Value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Daily Active Users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~50 Million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Events per User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40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Daily Events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~2 Billion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Average Throughput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~23K events/sec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Peak Throughput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~230K events/sec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Average Event Size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1 KB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 / Write Ratio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90 : 10</w:t>
            </w:r>
          </w:p>
        </w:tc>
      </w:tr>
    </w:tbl>
    <w:p w:rsidR="000B52DD" w:rsidRDefault="000B52DD">
      <w:pPr>
        <w:spacing w:after="16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Workload Characteristics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Although the platform ingests a large volume of customer interaction events, the overall workload is predominantly read-heavy.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Each customer interaction generates a single write operation, while campaign dashboards, retailer portals, and advertiser reports</w:t>
      </w:r>
      <w:r>
        <w:rPr>
          <w:rFonts w:ascii="Calibri" w:eastAsia="Calibri" w:hAnsi="Calibri" w:cs="Calibri"/>
          <w:sz w:val="22"/>
          <w:szCs w:val="22"/>
        </w:rPr>
        <w:t xml:space="preserve"> repeatedly query aggregated metrics throughout the day. As a result, the same dataset is read significantly more often than it is written. This workload profile directly influences the architectural design.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Design Impact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24"/>
        <w:gridCol w:w="6696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Assumption</w:t>
            </w:r>
          </w:p>
        </w:tc>
        <w:tc>
          <w:tcPr>
            <w:tcW w:w="64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Architecture Decision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High Event Volume</w:t>
            </w:r>
          </w:p>
        </w:tc>
        <w:tc>
          <w:tcPr>
            <w:tcW w:w="64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Asynchronous event processing using Google Pub/Sub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Peak Traffic</w:t>
            </w:r>
          </w:p>
        </w:tc>
        <w:tc>
          <w:tcPr>
            <w:tcW w:w="64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Horizontal auto scaling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Read-Heavy Workload</w:t>
            </w:r>
          </w:p>
        </w:tc>
        <w:tc>
          <w:tcPr>
            <w:tcW w:w="64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 used as the primary read cache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Reporting</w:t>
            </w:r>
          </w:p>
        </w:tc>
        <w:tc>
          <w:tcPr>
            <w:tcW w:w="64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 stores analytical data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Independent Scaling</w:t>
            </w:r>
          </w:p>
        </w:tc>
        <w:tc>
          <w:tcPr>
            <w:tcW w:w="64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Command and query workloads are scaled independently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Capacity Overview</w:t>
      </w:r>
    </w:p>
    <w:p w:rsidR="000B52DD" w:rsidRDefault="001B0FA8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2114550" cy="31051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45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7DA5" w:rsidRDefault="00847DA5" w:rsidP="00847DA5"/>
    <w:p w:rsidR="000B52DD" w:rsidRPr="00847DA5" w:rsidRDefault="001B0FA8" w:rsidP="00847DA5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5. Architecture Principles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proposed solution is designed using a small set of architectural principles that guide technology selection and system evolution.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Principle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Descripti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Native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Leverage managed cloud services and containerized workloads.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Event-Driven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Process high-volume events asynchronously.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Multi-Tenant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Support multiple retailers on a shared platform with tenant isolation.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Security by Design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Apply authentication, authorization and encryption across all layers.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Independently scale platform components based on workload.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Observability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Enable centralized monitoring, logging and tracing.</w:t>
            </w:r>
          </w:p>
        </w:tc>
      </w:tr>
    </w:tbl>
    <w:p w:rsidR="00E57403" w:rsidRDefault="00E57403" w:rsidP="00E57403"/>
    <w:p w:rsidR="000B52DD" w:rsidRPr="00E57403" w:rsidRDefault="001B0FA8" w:rsidP="00E57403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6. Solution Overview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platform follows a hybrid architecture where synchronous APIs are used for client interactions, while asynchronous messaging is used for event processing. This separation improves scalability, resilience and operational flexibility.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Core Components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Com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ponent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Responsibility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entry point and request routing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Collector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 xml:space="preserve">Validate event schema, resolve tenant, generate correlation ID, validate authentication context, normalize payloads, enforce </w:t>
            </w:r>
            <w:proofErr w:type="spellStart"/>
            <w:r>
              <w:rPr>
                <w:rFonts w:ascii="Calibri" w:eastAsia="Calibri" w:hAnsi="Calibri" w:cs="Calibri"/>
              </w:rPr>
              <w:t>idempotency</w:t>
            </w:r>
            <w:proofErr w:type="spellEnd"/>
            <w:r>
              <w:rPr>
                <w:rFonts w:ascii="Calibri" w:eastAsia="Calibri" w:hAnsi="Calibri" w:cs="Calibri"/>
              </w:rPr>
              <w:t>, publish events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Pub/Sub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Reliable event transport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Process and enrich events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Metrics Aggregator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Calculate campaign metrics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data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 cache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analytics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Insights API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Expose campaign insights. Serves two query modes: real-time queries (no date range) return current aggregated metrics from the Redis cache with a maximum staleness of two minutes; historical queries (with a 'from' and 'to' date range) are routed to BigQuer</w:t>
            </w:r>
            <w:r>
              <w:rPr>
                <w:rFonts w:ascii="Calibri" w:eastAsia="Calibri" w:hAnsi="Calibri" w:cs="Calibri"/>
              </w:rPr>
              <w:t>y, which holds the full event history. The routing decision is made inside the query handler, which maps HTTP parameters to a query object without the controller being aware of which store is used.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Design Decisions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Decision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Reason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security and routing.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Event Collector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Keep ingestion lightweight and validate requests.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Pub/Sub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Decouple ingestion from processing.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Transactional system of record.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Low-latency dashboard responses.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Dedicated analytical processing.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Solution Overview Diagram</w:t>
      </w:r>
    </w:p>
    <w:p w:rsidR="000B52DD" w:rsidRDefault="001B0FA8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3200400" cy="58483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584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Default="001B0FA8">
      <w:r>
        <w:br w:type="page"/>
      </w:r>
    </w:p>
    <w:p w:rsidR="000B52DD" w:rsidRDefault="001B0FA8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7. End-to-End Data Flow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platform captures customer interactions from retailer applications, validates each request, processes events asynchronously, and generates campaign insights that are exposed through secure APIs.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Processing Flow</w:t>
      </w:r>
    </w:p>
    <w:p w:rsidR="000B52DD" w:rsidRDefault="001B0FA8">
      <w:pPr>
        <w:spacing w:after="160" w:line="276" w:lineRule="auto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The Event Processor enriches each event w</w:t>
      </w:r>
      <w:r>
        <w:rPr>
          <w:rFonts w:ascii="Calibri" w:eastAsia="Calibri" w:hAnsi="Calibri" w:cs="Calibri"/>
          <w:sz w:val="22"/>
          <w:szCs w:val="22"/>
        </w:rPr>
        <w:t>ith session context. The retailer SDK generates a SessionId when a user lands on the page and passes it with every subsequent event during that visit. The Processor links events sharing the same SessionId into a session window, considered complete after 30</w:t>
      </w:r>
      <w:r>
        <w:rPr>
          <w:rFonts w:ascii="Calibri" w:eastAsia="Calibri" w:hAnsi="Calibri" w:cs="Calibri"/>
          <w:sz w:val="22"/>
          <w:szCs w:val="22"/>
        </w:rPr>
        <w:t xml:space="preserve"> minutes of inactivity. ClickToBasket conversion is calculated at the session level, as the percentage of sessions containing a click event that also contain a basket event, rather than as a raw ratio of total clicks to total impressions.</w:t>
      </w:r>
    </w:p>
    <w:p w:rsidR="00C14801" w:rsidRPr="00C14801" w:rsidRDefault="00C14801" w:rsidP="00C14801">
      <w:pPr>
        <w:pStyle w:val="Heading2"/>
        <w:spacing w:before="260" w:after="130"/>
        <w:rPr>
          <w:rFonts w:ascii="Calibri" w:eastAsia="Calibri" w:hAnsi="Calibri" w:cs="Calibri"/>
          <w:b/>
          <w:bCs/>
          <w:sz w:val="25"/>
          <w:szCs w:val="25"/>
        </w:rPr>
      </w:pPr>
      <w:r w:rsidRPr="00C14801">
        <w:rPr>
          <w:rFonts w:ascii="Calibri" w:eastAsia="Calibri" w:hAnsi="Calibri" w:cs="Calibri"/>
          <w:b/>
          <w:bCs/>
          <w:sz w:val="25"/>
          <w:szCs w:val="25"/>
        </w:rPr>
        <w:t>Session Windowing Implementation</w:t>
      </w:r>
    </w:p>
    <w:p w:rsidR="00C14801" w:rsidRPr="00C14801" w:rsidRDefault="00C14801" w:rsidP="00C14801">
      <w:pPr>
        <w:spacing w:after="160" w:line="276" w:lineRule="auto"/>
        <w:rPr>
          <w:rFonts w:ascii="Calibri" w:eastAsia="Calibri" w:hAnsi="Calibri" w:cs="Calibri"/>
          <w:sz w:val="22"/>
          <w:szCs w:val="22"/>
        </w:rPr>
      </w:pPr>
      <w:r w:rsidRPr="00C14801">
        <w:rPr>
          <w:rFonts w:ascii="Calibri" w:eastAsia="Calibri" w:hAnsi="Calibri" w:cs="Calibri"/>
          <w:sz w:val="22"/>
          <w:szCs w:val="22"/>
        </w:rPr>
        <w:t>Session windowing is implemented directly within the Event Processor rather than through a dedicated stream processing framework. Each event's SessionId is used as a Redis key that accumulates event types as they arrive; Redis's native key expiry (TTL, reset on every new event for that session) acts as the inactivity timer — when 30 minutes pass with no new event for a given SessionId, the key expires and a finalization step reads the accumulated state before it's gone, writing it to the CustomerSession read model. This gives session-window semantics without introducing a new infrastructure component, since Redis is already part of the platform's caching layer.</w:t>
      </w:r>
    </w:p>
    <w:p w:rsidR="00C14801" w:rsidRDefault="00C14801">
      <w:pPr>
        <w:spacing w:after="160" w:line="276" w:lineRule="auto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End-to-End Flow D</w:t>
      </w:r>
      <w:r>
        <w:rPr>
          <w:rFonts w:ascii="Calibri" w:eastAsia="Calibri" w:hAnsi="Calibri" w:cs="Calibri"/>
          <w:b/>
          <w:bCs/>
          <w:sz w:val="25"/>
          <w:szCs w:val="25"/>
        </w:rPr>
        <w:t>iagram</w:t>
      </w:r>
    </w:p>
    <w:p w:rsidR="000B52DD" w:rsidRDefault="001B0FA8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2466975" cy="37052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Pr="008215BC" w:rsidRDefault="001B0FA8" w:rsidP="008215BC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8. Deployment Architecture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solution is deployed on Google Cloud Platform (GCP) using managed services to simplify operations, improve scalability, and reduce infrastructure management.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Deployment Components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Layer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Technology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Global Load Balancer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Cloud Load Balancer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Container Platform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Kubernetes Engine (GKE)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Messaging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Pub/Sub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Database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Analytics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 Manager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Monitoring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 &amp; Cloud Logging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Scaling Strategy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Each service scales independently based on its own workload instead of scaling the entire platform. This minimizes infrastructure cost while preventing bottlenecks caused by unrelated workloads.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lastRenderedPageBreak/>
              <w:t>Service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Scaling Trigger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HTTP request rate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Collector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Incoming ingestion requests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Processor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Pub/Sub subscription backlog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Metrics Aggregator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Aggregation queue depth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Insights API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Dashboard/API requests</w:t>
            </w:r>
          </w:p>
        </w:tc>
      </w:tr>
    </w:tbl>
    <w:p w:rsidR="000B52DD" w:rsidRDefault="000B52DD">
      <w:pPr>
        <w:spacing w:after="140"/>
      </w:pPr>
    </w:p>
    <w:p w:rsidR="000B52DD" w:rsidRDefault="001B0FA8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Event Stream Partitioning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Google Pub/Sub subscriptions for the Processing and Aggregation consumers are configured with message ordering enabled, using CampaignId as the ordering key. This guarantees all events for a given campaign are delivered sequentially to the same consumer in</w:t>
      </w:r>
      <w:r>
        <w:rPr>
          <w:rFonts w:ascii="Calibri" w:eastAsia="Calibri" w:hAnsi="Calibri" w:cs="Calibri"/>
          <w:sz w:val="22"/>
          <w:szCs w:val="22"/>
        </w:rPr>
        <w:t>stance, preserving order for accurate aggregation. At the ingest side, the Event Collector publishes using TenantId as the ordering key, distributing load evenly across partitions while keeping each tenant's events on a consistent partition.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Deployment Dia</w:t>
      </w:r>
      <w:r>
        <w:rPr>
          <w:rFonts w:ascii="Calibri" w:eastAsia="Calibri" w:hAnsi="Calibri" w:cs="Calibri"/>
          <w:b/>
          <w:bCs/>
          <w:sz w:val="25"/>
          <w:szCs w:val="25"/>
        </w:rPr>
        <w:t>gram</w:t>
      </w:r>
    </w:p>
    <w:p w:rsidR="000B52DD" w:rsidRDefault="001B0FA8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2381250" cy="35623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Deployment Decisions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Decision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Reason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GKE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Run scalable containerized services.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Load Balancer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Distribute external traffic.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Pub/Sub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Decouple producers and consumers.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 Manager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application secrets.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monitoring and alerting.</w:t>
            </w:r>
          </w:p>
        </w:tc>
      </w:tr>
    </w:tbl>
    <w:p w:rsidR="00BC08F4" w:rsidRDefault="00BC08F4" w:rsidP="00BC08F4"/>
    <w:p w:rsidR="000B52DD" w:rsidRPr="00BC08F4" w:rsidRDefault="001B0FA8" w:rsidP="00BC08F4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9. Security Architecture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S</w:t>
      </w:r>
      <w:r>
        <w:rPr>
          <w:rFonts w:ascii="Calibri" w:eastAsia="Calibri" w:hAnsi="Calibri" w:cs="Calibri"/>
          <w:sz w:val="22"/>
          <w:szCs w:val="22"/>
        </w:rPr>
        <w:t xml:space="preserve">ecurity is implemented across every layer of the platform to protect customer data, tenant information, and platform resources. The solution follows a defense-in-depth approach using industry-standard authentication, authorization, encryption, and secret </w:t>
      </w:r>
      <w:r>
        <w:rPr>
          <w:rFonts w:ascii="Calibri" w:eastAsia="Calibri" w:hAnsi="Calibri" w:cs="Calibri"/>
          <w:sz w:val="22"/>
          <w:szCs w:val="22"/>
        </w:rPr>
        <w:t>management.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Security Controls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Area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Implementation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Authentication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OAuth 2.0 + JWT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Authorization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Role-Based Access Control (RBAC)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Tenant Isolation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Tenant ID validation for every request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Rate Limiting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Per-tenant sliding window counter in Redis. Default 10,000 events/minute per tenant, configurable per tenant.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Encryption in Transit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HTTPS (TLS 1.3)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Encryption at Rest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Cloud-managed encryption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Secret Manager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Audit Logging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audit logs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Security Decisions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Decision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Reason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JWT Authentication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Stateless and scalable authentication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RBAC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Fine-grained access control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 Manager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credential management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HTTPS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communication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Audit Logs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Traceability and compliance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Security Flow</w:t>
      </w:r>
    </w:p>
    <w:p w:rsidR="000B52DD" w:rsidRDefault="001B0FA8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 wp14:anchorId="16C01AD1" wp14:editId="62D18EA1">
            <wp:extent cx="1733550" cy="3236983"/>
            <wp:effectExtent l="0" t="0" r="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1558" cy="3251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Default="001B0FA8">
      <w:r>
        <w:br w:type="page"/>
      </w:r>
    </w:p>
    <w:p w:rsidR="000B52DD" w:rsidRDefault="001B0FA8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10. Data Architecture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platform separates operational, caching, and analytical workloads to improve scalability, maintainability, and reporting performance.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Data Stores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Data Store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Purpose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system of record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Low-latency cache for dashboards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analytics and reporting</w:t>
            </w:r>
          </w:p>
        </w:tc>
      </w:tr>
    </w:tbl>
    <w:p w:rsidR="000B52DD" w:rsidRDefault="001B0FA8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2924175" cy="34004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4175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Data Strategy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Area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Approach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Data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Cached Data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Analytics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 Optimization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Redis-first strategy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Analytics Updates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Asynchronous processing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CQRS Approach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The platform follows a logical Command Query Responsibility Segregation (CQRS) pattern.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Customer events are processed through the command path, where operational data is persisted and domain events are published.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Analytical queries are served through dedicated read models backed by Redis and BigQuery, ensuring that reporting workloads never i</w:t>
      </w:r>
      <w:r>
        <w:rPr>
          <w:rFonts w:ascii="Calibri" w:eastAsia="Calibri" w:hAnsi="Calibri" w:cs="Calibri"/>
          <w:sz w:val="22"/>
          <w:szCs w:val="22"/>
        </w:rPr>
        <w:t>mpact transactional processing.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This separation enables independent scaling of write-intensive ingestion and read-intensive analytical APIs while maintaining clear ownership of operational and analytical data.</w:t>
      </w:r>
    </w:p>
    <w:p w:rsidR="000B52DD" w:rsidRDefault="001B0FA8">
      <w:pPr>
        <w:pStyle w:val="Heading3"/>
        <w:spacing w:before="180" w:after="90"/>
      </w:pPr>
      <w:r>
        <w:rPr>
          <w:rFonts w:ascii="Calibri" w:eastAsia="Calibri" w:hAnsi="Calibri" w:cs="Calibri"/>
          <w:b/>
          <w:bCs/>
          <w:color w:val="1F3864"/>
          <w:sz w:val="22"/>
          <w:szCs w:val="22"/>
        </w:rPr>
        <w:t>Session Read Model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 xml:space="preserve">The Aggregator maintains a </w:t>
      </w:r>
      <w:r>
        <w:rPr>
          <w:rFonts w:ascii="Calibri" w:eastAsia="Calibri" w:hAnsi="Calibri" w:cs="Calibri"/>
          <w:sz w:val="22"/>
          <w:szCs w:val="22"/>
        </w:rPr>
        <w:t>CustomerSession read model alongside CampaignMetrics, accumulating event types per SessionId and finalizing the record once the inactivity window expires. Campaign-level conversion metrics are derived from finalized session records.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Data Decisions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Deci</w:t>
            </w:r>
            <w:r>
              <w:rPr>
                <w:rFonts w:ascii="Calibri" w:eastAsia="Calibri" w:hAnsi="Calibri" w:cs="Calibri"/>
                <w:b/>
                <w:bCs/>
                <w:color w:val="FFFFFF"/>
              </w:rPr>
              <w:t>sion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Reason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Strong transactional consistency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Improve API response time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Isolate analytical workloads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Separate Data Stores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Independent scaling of workloads</w:t>
            </w:r>
          </w:p>
        </w:tc>
      </w:tr>
    </w:tbl>
    <w:p w:rsidR="000B52DD" w:rsidRDefault="000B52DD">
      <w:pPr>
        <w:spacing w:after="16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Data Retention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2190"/>
        <w:gridCol w:w="481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Store</w:t>
            </w:r>
          </w:p>
        </w:tc>
        <w:tc>
          <w:tcPr>
            <w:tcW w:w="21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Retention Period</w:t>
            </w:r>
          </w:p>
        </w:tc>
        <w:tc>
          <w:tcPr>
            <w:tcW w:w="46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Action on Expiry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 (raw events)</w:t>
            </w:r>
          </w:p>
        </w:tc>
        <w:tc>
          <w:tcPr>
            <w:tcW w:w="2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90 days</w:t>
            </w:r>
          </w:p>
        </w:tc>
        <w:tc>
          <w:tcPr>
            <w:tcW w:w="4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Archive to cold storage or delete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 (cache TTL)</w:t>
            </w:r>
          </w:p>
        </w:tc>
        <w:tc>
          <w:tcPr>
            <w:tcW w:w="21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2 minutes</w:t>
            </w:r>
          </w:p>
        </w:tc>
        <w:tc>
          <w:tcPr>
            <w:tcW w:w="46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Automatic expiry, re-fetched from analytics store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 (analytics)</w:t>
            </w:r>
          </w:p>
        </w:tc>
        <w:tc>
          <w:tcPr>
            <w:tcW w:w="21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3 years</w:t>
            </w:r>
          </w:p>
        </w:tc>
        <w:tc>
          <w:tcPr>
            <w:tcW w:w="46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Move to long-term BigQuery storage tier (lower cost)</w:t>
            </w:r>
          </w:p>
        </w:tc>
      </w:tr>
    </w:tbl>
    <w:p w:rsidR="000B52DD" w:rsidRDefault="000B52DD">
      <w:pPr>
        <w:spacing w:after="120"/>
      </w:pP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Customer interaction events contain a CustomerId, which may be considered personal data depending on jurisdiction. A soft-delete flag on CustomerEvent allows the system to mark events for erasure without immediate deletion. A scheduled job permanently remo</w:t>
      </w:r>
      <w:r>
        <w:rPr>
          <w:rFonts w:ascii="Calibri" w:eastAsia="Calibri" w:hAnsi="Calibri" w:cs="Calibri"/>
          <w:sz w:val="22"/>
          <w:szCs w:val="22"/>
        </w:rPr>
        <w:t>ves flagged records after 30 days, satisfying most right-to-erasure timelines.</w:t>
      </w:r>
    </w:p>
    <w:p w:rsidR="000B52DD" w:rsidRDefault="001B0FA8">
      <w:r>
        <w:br w:type="page"/>
      </w:r>
    </w:p>
    <w:p w:rsidR="000B52DD" w:rsidRDefault="001B0FA8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11. Observability &amp; Reliability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platform is designed to provide operational visibility and resilience through centralized monitoring, distributed tracing, health checks, a</w:t>
      </w:r>
      <w:r>
        <w:rPr>
          <w:rFonts w:ascii="Calibri" w:eastAsia="Calibri" w:hAnsi="Calibri" w:cs="Calibri"/>
          <w:sz w:val="22"/>
          <w:szCs w:val="22"/>
        </w:rPr>
        <w:t>nd automated recovery mechanisms.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Observability Components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Area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Implementation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Logging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Logging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Monitoring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Distributed Tracing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Open Telemetry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Health Checks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Liveness &amp; Readiness Probes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Alerting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 Alerts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Reliability Features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Feature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Purpose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Retry Policy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Handle transient failures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Dead Letter Queue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Capture failed events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Auto Scaling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Handle traffic spikes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Health Checks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Automatic service recovery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Correlation ID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End-to-end request tracing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Failure Handling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7"/>
        <w:gridCol w:w="6383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Failure Scenario</w:t>
            </w:r>
          </w:p>
        </w:tc>
        <w:tc>
          <w:tcPr>
            <w:tcW w:w="61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Platform Behavior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processing failure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Automatic retry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Retry limit exceeded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moved to Dead Letter Queue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 unavailable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Read directly from analytical storage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Processor unavailable</w:t>
            </w:r>
          </w:p>
        </w:tc>
        <w:tc>
          <w:tcPr>
            <w:tcW w:w="6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Events remain in Pub/Sub until consumers recover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Metrics Aggregator unavailable</w:t>
            </w:r>
          </w:p>
        </w:tc>
        <w:tc>
          <w:tcPr>
            <w:tcW w:w="6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processing continues; aggregation resumes after recovery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Observability Flow</w:t>
      </w:r>
    </w:p>
    <w:p w:rsidR="000B52DD" w:rsidRDefault="001B0FA8">
      <w:pPr>
        <w:spacing w:before="120" w:after="240"/>
        <w:jc w:val="center"/>
      </w:pPr>
      <w:r>
        <w:rPr>
          <w:noProof/>
        </w:rPr>
        <w:lastRenderedPageBreak/>
        <w:drawing>
          <wp:inline distT="0" distB="0" distL="0" distR="0">
            <wp:extent cx="2838450" cy="322897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845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Metrics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following metrics form the operational alerting baseline for the platform.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600"/>
        <w:gridCol w:w="4120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Metric</w:t>
            </w:r>
          </w:p>
        </w:tc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Alert Threshold</w:t>
            </w:r>
          </w:p>
        </w:tc>
        <w:tc>
          <w:tcPr>
            <w:tcW w:w="41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Why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 ingestion rate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Drop &gt; 20% from baseline</w:t>
            </w:r>
          </w:p>
        </w:tc>
        <w:tc>
          <w:tcPr>
            <w:tcW w:w="4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Retailer SDK or upstream outage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Processing latency P99</w:t>
            </w:r>
          </w:p>
        </w:tc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&gt; 2 seconds</w:t>
            </w:r>
          </w:p>
        </w:tc>
        <w:tc>
          <w:tcPr>
            <w:tcW w:w="4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Near-real-time SLA breach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Pub/Sub subscription backlog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&gt; 10,000 messages</w:t>
            </w:r>
          </w:p>
        </w:tc>
        <w:tc>
          <w:tcPr>
            <w:tcW w:w="4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Consumer falling behind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 cache hit ratio</w:t>
            </w:r>
          </w:p>
        </w:tc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&lt; 70%</w:t>
            </w:r>
          </w:p>
        </w:tc>
        <w:tc>
          <w:tcPr>
            <w:tcW w:w="4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Insights API over-hitting BigQuery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Dead letter queue depth</w:t>
            </w:r>
          </w:p>
        </w:tc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&gt; 0</w:t>
            </w:r>
          </w:p>
        </w:tc>
        <w:tc>
          <w:tcPr>
            <w:tcW w:w="41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Events being permanently lost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5xx error rate per service</w:t>
            </w:r>
          </w:p>
        </w:tc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&gt; 1%</w:t>
            </w:r>
          </w:p>
        </w:tc>
        <w:tc>
          <w:tcPr>
            <w:tcW w:w="41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Service degradation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Cost Monitoring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Cost monitoring runs as a background concern across all services. Cloud Billing Export sends daily cost data to BigQuery, surfaced as a dashboard by service, tenant, and resource type, with alerts on per-tenant spend thresholds.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All analytical queries targ</w:t>
      </w:r>
      <w:r>
        <w:rPr>
          <w:rFonts w:ascii="Calibri" w:eastAsia="Calibri" w:hAnsi="Calibri" w:cs="Calibri"/>
          <w:sz w:val="22"/>
          <w:szCs w:val="22"/>
        </w:rPr>
        <w:t>et tables partitioned by date and TenantId to minimize scan cost. The two-minute Redis cache TTL was chosen as the balance between cost (fewer BigQuery hits) and freshness (acceptable staleness for campaign dashboard reporting).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Reliability Features — Summ</w:t>
      </w:r>
      <w:r>
        <w:rPr>
          <w:rFonts w:ascii="Calibri" w:eastAsia="Calibri" w:hAnsi="Calibri" w:cs="Calibri"/>
          <w:b/>
          <w:bCs/>
          <w:sz w:val="25"/>
          <w:szCs w:val="25"/>
        </w:rPr>
        <w:t>ary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lastRenderedPageBreak/>
              <w:t>Decision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Reason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Logging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Simplify troubleshooting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Distributed Tracing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Track end-to-end requests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Health Checks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Improve service availability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Auto Scaling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Handle peak workloads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Dead Letter Queue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Prevent message loss</w:t>
            </w:r>
          </w:p>
        </w:tc>
      </w:tr>
    </w:tbl>
    <w:p w:rsidR="004B5426" w:rsidRDefault="004B5426" w:rsidP="004B5426"/>
    <w:p w:rsidR="000B52DD" w:rsidRPr="005C58B7" w:rsidRDefault="001B0FA8" w:rsidP="005C58B7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12. Technology Decisions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>he following technologies have been selected based on the functional and non-functional requirements of the proposed solution.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Technology Selection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3"/>
        <w:gridCol w:w="3296"/>
        <w:gridCol w:w="3921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Layer</w:t>
            </w:r>
          </w:p>
        </w:tc>
        <w:tc>
          <w:tcPr>
            <w:tcW w:w="316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Technology</w:t>
            </w:r>
          </w:p>
        </w:tc>
        <w:tc>
          <w:tcPr>
            <w:tcW w:w="376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Purpose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Platform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Cloud Platform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Managed cloud infrastructure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Backend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.NET 9 / C#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Backend services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REST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External communication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Container Platform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Kubernetes Engine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Container orchestration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API Gateway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API entry point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Messaging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Pub/Sub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Event-driven communication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Database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Transactional data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Low-latency reads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Analytics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Historical reporting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Authentication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OAuth 2.0 + JWT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Identity and access management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Secrets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Secret Manager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Secure secret storage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Monitoring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Metrics and alerting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Logging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Logging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logging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Tracing</w:t>
            </w:r>
          </w:p>
        </w:tc>
        <w:tc>
          <w:tcPr>
            <w:tcW w:w="31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Open Telemetry</w:t>
            </w:r>
          </w:p>
        </w:tc>
        <w:tc>
          <w:tcPr>
            <w:tcW w:w="376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Distributed tracing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4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Infrastructure</w:t>
            </w:r>
          </w:p>
        </w:tc>
        <w:tc>
          <w:tcPr>
            <w:tcW w:w="31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Terraform</w:t>
            </w:r>
          </w:p>
        </w:tc>
        <w:tc>
          <w:tcPr>
            <w:tcW w:w="376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Infrastructure as Code</w:t>
            </w:r>
          </w:p>
        </w:tc>
      </w:tr>
    </w:tbl>
    <w:p w:rsidR="000B52DD" w:rsidRDefault="000B52DD">
      <w:pPr>
        <w:spacing w:after="16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Architecture Trade-offs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6"/>
        <w:gridCol w:w="1982"/>
        <w:gridCol w:w="3024"/>
        <w:gridCol w:w="262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lastRenderedPageBreak/>
              <w:t>Decision</w:t>
            </w:r>
          </w:p>
        </w:tc>
        <w:tc>
          <w:tcPr>
            <w:tcW w:w="1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Alternative</w:t>
            </w:r>
          </w:p>
        </w:tc>
        <w:tc>
          <w:tcPr>
            <w:tcW w:w="29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Why Selected</w:t>
            </w:r>
          </w:p>
        </w:tc>
        <w:tc>
          <w:tcPr>
            <w:tcW w:w="25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Trade-off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Pub/Sub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Kafka</w:t>
            </w:r>
          </w:p>
        </w:tc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Fully managed GCP service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Less control over broker configuration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  <w:tc>
          <w:tcPr>
            <w:tcW w:w="19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Cassandra</w:t>
            </w:r>
          </w:p>
        </w:tc>
        <w:tc>
          <w:tcPr>
            <w:tcW w:w="29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Strong consistency and relational queries</w:t>
            </w:r>
          </w:p>
        </w:tc>
        <w:tc>
          <w:tcPr>
            <w:tcW w:w="25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Lower write scalability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Direct SQL reads</w:t>
            </w:r>
          </w:p>
        </w:tc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Low-latency dashboard responses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 invalidation complexity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  <w:tc>
          <w:tcPr>
            <w:tcW w:w="19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reporting</w:t>
            </w:r>
          </w:p>
        </w:tc>
        <w:tc>
          <w:tcPr>
            <w:tcW w:w="29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Optimized for analytics</w:t>
            </w:r>
          </w:p>
        </w:tc>
        <w:tc>
          <w:tcPr>
            <w:tcW w:w="25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Eventual consistency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Event-Driven</w:t>
            </w:r>
          </w:p>
        </w:tc>
        <w:tc>
          <w:tcPr>
            <w:tcW w:w="1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Synchronous APIs</w:t>
            </w:r>
          </w:p>
        </w:tc>
        <w:tc>
          <w:tcPr>
            <w:tcW w:w="29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Better scalability</w:t>
            </w:r>
          </w:p>
        </w:tc>
        <w:tc>
          <w:tcPr>
            <w:tcW w:w="25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More operational complexity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Technology Stack Overview</w:t>
      </w:r>
    </w:p>
    <w:p w:rsidR="000B52DD" w:rsidRDefault="001B0FA8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3657600" cy="223837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Design Summary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Area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Design Choice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Architecture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Hybrid (REST + Event-Driven)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Deployment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Cloud-Native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Scalability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Horizontal Scaling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OAuth 2.0 + JWT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Data Strategy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+ Analytical Separation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Observability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Centralized Monitoring &amp; Tracing</w:t>
            </w:r>
          </w:p>
        </w:tc>
      </w:tr>
    </w:tbl>
    <w:p w:rsidR="00527519" w:rsidRDefault="00527519" w:rsidP="00527519">
      <w:pPr>
        <w:rPr>
          <w:rFonts w:ascii="Calibri" w:eastAsia="Calibri" w:hAnsi="Calibri" w:cs="Calibri"/>
          <w:b/>
          <w:bCs/>
          <w:color w:val="1F3864"/>
          <w:sz w:val="32"/>
          <w:szCs w:val="32"/>
        </w:rPr>
      </w:pPr>
    </w:p>
    <w:p w:rsidR="000B52DD" w:rsidRPr="00C70CAA" w:rsidRDefault="001B0FA8" w:rsidP="00C70CAA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13. Future Roadmap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>T</w:t>
      </w:r>
      <w:r>
        <w:rPr>
          <w:rFonts w:ascii="Calibri" w:eastAsia="Calibri" w:hAnsi="Calibri" w:cs="Calibri"/>
          <w:sz w:val="22"/>
          <w:szCs w:val="22"/>
        </w:rPr>
        <w:t>he proposed architecture has been designed to support future enhancements without requiring significant changes to the core platform. The modular and event-driven approach enables new capabilities to be introduced incrementally as business needs evolve.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P</w:t>
      </w:r>
      <w:r>
        <w:rPr>
          <w:rFonts w:ascii="Calibri" w:eastAsia="Calibri" w:hAnsi="Calibri" w:cs="Calibri"/>
          <w:b/>
          <w:bCs/>
          <w:sz w:val="25"/>
          <w:szCs w:val="25"/>
        </w:rPr>
        <w:t>lanned Evolution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86"/>
        <w:gridCol w:w="7634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Phase</w:t>
            </w:r>
          </w:p>
        </w:tc>
        <w:tc>
          <w:tcPr>
            <w:tcW w:w="73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Enhancement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1</w:t>
            </w:r>
          </w:p>
        </w:tc>
        <w:tc>
          <w:tcPr>
            <w:tcW w:w="73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Retail Media Intelligence Platform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2</w:t>
            </w:r>
          </w:p>
        </w:tc>
        <w:tc>
          <w:tcPr>
            <w:tcW w:w="73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AI-powered campaign recommendations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3</w:t>
            </w:r>
          </w:p>
        </w:tc>
        <w:tc>
          <w:tcPr>
            <w:tcW w:w="73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Fraud detection and anomaly monitoring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4</w:t>
            </w:r>
          </w:p>
        </w:tc>
        <w:tc>
          <w:tcPr>
            <w:tcW w:w="73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Multi-region deployment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Phase 5</w:t>
            </w:r>
          </w:p>
        </w:tc>
        <w:tc>
          <w:tcPr>
            <w:tcW w:w="73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Multi-cloud readiness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Future Architecture</w:t>
      </w:r>
    </w:p>
    <w:p w:rsidR="000B52DD" w:rsidRDefault="001B0FA8">
      <w:pPr>
        <w:spacing w:before="120" w:after="240"/>
        <w:jc w:val="center"/>
      </w:pPr>
      <w:r>
        <w:rPr>
          <w:noProof/>
        </w:rPr>
        <w:drawing>
          <wp:inline distT="0" distB="0" distL="0" distR="0">
            <wp:extent cx="4752975" cy="2667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Future Design Goals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9"/>
        <w:gridCol w:w="6591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Goal</w:t>
            </w:r>
          </w:p>
        </w:tc>
        <w:tc>
          <w:tcPr>
            <w:tcW w:w="63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Benefit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AI Integration</w:t>
            </w:r>
          </w:p>
        </w:tc>
        <w:tc>
          <w:tcPr>
            <w:tcW w:w="63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Improve campaign optimization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Multi-Region Deployment</w:t>
            </w:r>
          </w:p>
        </w:tc>
        <w:tc>
          <w:tcPr>
            <w:tcW w:w="63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Improve availability and disaster recovery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Multi-Cloud Readiness</w:t>
            </w:r>
          </w:p>
        </w:tc>
        <w:tc>
          <w:tcPr>
            <w:tcW w:w="63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Reduce cloud provider dependency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30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Advanced Analytics</w:t>
            </w:r>
          </w:p>
        </w:tc>
        <w:tc>
          <w:tcPr>
            <w:tcW w:w="63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Deliver richer business insights</w:t>
            </w:r>
          </w:p>
        </w:tc>
      </w:tr>
    </w:tbl>
    <w:p w:rsidR="000B52DD" w:rsidRDefault="001B0FA8">
      <w:r>
        <w:br w:type="page"/>
      </w:r>
    </w:p>
    <w:p w:rsidR="000B52DD" w:rsidRDefault="001B0FA8">
      <w:pPr>
        <w:pStyle w:val="Heading1"/>
        <w:pBdr>
          <w:bottom w:val="single" w:sz="8" w:space="4" w:color="2E74B5"/>
        </w:pBdr>
        <w:spacing w:before="420" w:after="220"/>
      </w:pPr>
      <w:r>
        <w:rPr>
          <w:rFonts w:ascii="Calibri" w:eastAsia="Calibri" w:hAnsi="Calibri" w:cs="Calibri"/>
          <w:b/>
          <w:bCs/>
          <w:color w:val="1F3864"/>
        </w:rPr>
        <w:lastRenderedPageBreak/>
        <w:t>14. Challenges and Trade-offs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This chapter anticipates potential challenges in the platform and explains the trade-offs consciously made between real-time performance, data accuracy, operational complexity, and cost.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</w:t>
      </w:r>
      <w:r>
        <w:rPr>
          <w:rFonts w:ascii="Calibri" w:eastAsia="Calibri" w:hAnsi="Calibri" w:cs="Calibri"/>
          <w:b/>
          <w:bCs/>
          <w:sz w:val="25"/>
          <w:szCs w:val="25"/>
        </w:rPr>
        <w:t>1 Real-Time Performance vs. Data Accuracy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Pub/Sub delivers events at-least-once, not exactly-once. Under network failures or consumer restarts, the same event can be delivered twice. Processing it twice would double-count a click.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Chosen resolution: Idempotent event handlers using CorrelationId as a deduplication key. This adds a Redis lookup per event but eliminates double-counting.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Alternative rejected: Exactly-once processing via distributed transactions. This guarantees accuracy</w:t>
      </w:r>
      <w:r>
        <w:rPr>
          <w:rFonts w:ascii="Calibri" w:eastAsia="Calibri" w:hAnsi="Calibri" w:cs="Calibri"/>
          <w:sz w:val="22"/>
          <w:szCs w:val="22"/>
        </w:rPr>
        <w:t xml:space="preserve"> but adds significant latency (two-phase commit across SQL Server and Pub/Sub acknowledgement) and reduces throughput under load.</w:t>
      </w:r>
    </w:p>
    <w:p w:rsidR="000B52DD" w:rsidRDefault="000B52DD">
      <w:pPr>
        <w:spacing w:after="14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14.2 SQL Server vs. NoSQL for Raw Event Storage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SQL Server provides ACID transactions and a familiar operational model, but its write throughput is lower than purpose-built event stores like Cassandra or DynamoDB at extreme scale.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 xml:space="preserve">Chosen resolution: SQL Server with horizontal </w:t>
      </w:r>
      <w:proofErr w:type="spellStart"/>
      <w:r>
        <w:rPr>
          <w:rFonts w:ascii="Calibri" w:eastAsia="Calibri" w:hAnsi="Calibri" w:cs="Calibri"/>
          <w:sz w:val="22"/>
          <w:szCs w:val="22"/>
        </w:rPr>
        <w:t>sharding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 by TenantId for th</w:t>
      </w:r>
      <w:r>
        <w:rPr>
          <w:rFonts w:ascii="Calibri" w:eastAsia="Calibri" w:hAnsi="Calibri" w:cs="Calibri"/>
          <w:sz w:val="22"/>
          <w:szCs w:val="22"/>
        </w:rPr>
        <w:t>e first phase. The IRawEventStore interface isolates this decision, so migrating to Cassandra later is an infrastructure change, not a business logic change.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 xml:space="preserve">Trigger to revisit: when single SQL Server instance write throughput exceeds 80% capacity at peak </w:t>
      </w:r>
      <w:r>
        <w:rPr>
          <w:rFonts w:ascii="Calibri" w:eastAsia="Calibri" w:hAnsi="Calibri" w:cs="Calibri"/>
          <w:sz w:val="22"/>
          <w:szCs w:val="22"/>
        </w:rPr>
        <w:t>load.</w:t>
      </w:r>
    </w:p>
    <w:p w:rsidR="000B52DD" w:rsidRDefault="000B52DD">
      <w:pPr>
        <w:spacing w:after="14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14.3 Eventual Consistency in the Analytics Pipeline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The path from event ingestion to a readable metric involves four steps: Collector persists, Pub/Sub delivers, Processor enriches, Aggregator writes. Each step adds latency. A marketer querying imme</w:t>
      </w:r>
      <w:r>
        <w:rPr>
          <w:rFonts w:ascii="Calibri" w:eastAsia="Calibri" w:hAnsi="Calibri" w:cs="Calibri"/>
          <w:sz w:val="22"/>
          <w:szCs w:val="22"/>
        </w:rPr>
        <w:t>diately after an event fires may not see it reflected for several seconds.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Chosen resolution: Near-real-time is sufficient for campaign reporting. Metrics dashboards do not need sub-second accuracy. This allows each component to be independently scaled and</w:t>
      </w:r>
      <w:r>
        <w:rPr>
          <w:rFonts w:ascii="Calibri" w:eastAsia="Calibri" w:hAnsi="Calibri" w:cs="Calibri"/>
          <w:sz w:val="22"/>
          <w:szCs w:val="22"/>
        </w:rPr>
        <w:t xml:space="preserve"> deployed without synchronisation.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Not appropriate for: billing or financial reporting, which would require stronger consistency guarantees.</w:t>
      </w:r>
    </w:p>
    <w:p w:rsidR="000B52DD" w:rsidRDefault="000B52DD">
      <w:pPr>
        <w:spacing w:after="140"/>
      </w:pP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14.4 Shared Platform vs. Dedicated Infrastructure per Tenant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A shared platform (one Pub/Sub topic, one GKE cluster</w:t>
      </w:r>
      <w:r>
        <w:rPr>
          <w:rFonts w:ascii="Calibri" w:eastAsia="Calibri" w:hAnsi="Calibri" w:cs="Calibri"/>
          <w:sz w:val="22"/>
          <w:szCs w:val="22"/>
        </w:rPr>
        <w:t>) reduces cost but introduces the noisy neighbour problem, where one high-volume tenant degrades processing for others.</w:t>
      </w:r>
    </w:p>
    <w:p w:rsidR="000B52DD" w:rsidRPr="00C14801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lastRenderedPageBreak/>
        <w:t xml:space="preserve">Chosen resolution: Rate limiting per tenant at the Collector layer controls event volume. Pub/Sub partitioning by TenantId ensures fair </w:t>
      </w:r>
      <w:r>
        <w:rPr>
          <w:rFonts w:ascii="Calibri" w:eastAsia="Calibri" w:hAnsi="Calibri" w:cs="Calibri"/>
          <w:sz w:val="22"/>
          <w:szCs w:val="22"/>
        </w:rPr>
        <w:t>scheduling. Resource quotas at the GKE namespace level isolate compute.</w:t>
      </w:r>
    </w:p>
    <w:p w:rsidR="00C14801" w:rsidRPr="00C14801" w:rsidRDefault="00C14801" w:rsidP="00C14801">
      <w:pPr>
        <w:pStyle w:val="Heading2"/>
        <w:spacing w:before="260" w:after="130"/>
        <w:rPr>
          <w:rFonts w:ascii="Calibri" w:eastAsia="Calibri" w:hAnsi="Calibri" w:cs="Calibri"/>
          <w:b/>
          <w:bCs/>
          <w:sz w:val="25"/>
          <w:szCs w:val="25"/>
        </w:rPr>
      </w:pPr>
      <w:r w:rsidRPr="00C14801">
        <w:rPr>
          <w:rFonts w:ascii="Calibri" w:eastAsia="Calibri" w:hAnsi="Calibri" w:cs="Calibri"/>
          <w:b/>
          <w:bCs/>
          <w:sz w:val="25"/>
          <w:szCs w:val="25"/>
        </w:rPr>
        <w:t>14.5 Custom Windowing vs. a Dedicated Stream Processing Framework</w:t>
      </w:r>
    </w:p>
    <w:p w:rsidR="00C14801" w:rsidRPr="00C14801" w:rsidRDefault="00C14801" w:rsidP="00C14801">
      <w:pPr>
        <w:pStyle w:val="ListParagraph"/>
        <w:numPr>
          <w:ilvl w:val="0"/>
          <w:numId w:val="2"/>
        </w:numPr>
        <w:spacing w:after="90" w:line="270" w:lineRule="auto"/>
        <w:rPr>
          <w:rFonts w:ascii="Calibri" w:eastAsia="Calibri" w:hAnsi="Calibri" w:cs="Calibri"/>
          <w:sz w:val="22"/>
          <w:szCs w:val="22"/>
        </w:rPr>
      </w:pPr>
      <w:r w:rsidRPr="00C14801">
        <w:rPr>
          <w:rFonts w:ascii="Calibri" w:eastAsia="Calibri" w:hAnsi="Calibri" w:cs="Calibri"/>
          <w:sz w:val="22"/>
          <w:szCs w:val="22"/>
        </w:rPr>
        <w:t>Frameworks like Google Cloud Dataflow (Apache Beam) or Kafka Streams provide native, robust support for session windowing, watermarking, and late-arriving events — but they introduce a new managed service to operate, monitor, and reason about.</w:t>
      </w:r>
    </w:p>
    <w:p w:rsidR="00C14801" w:rsidRPr="00C14801" w:rsidRDefault="00C14801" w:rsidP="00C14801">
      <w:pPr>
        <w:pStyle w:val="ListParagraph"/>
        <w:numPr>
          <w:ilvl w:val="0"/>
          <w:numId w:val="2"/>
        </w:numPr>
        <w:spacing w:after="90" w:line="270" w:lineRule="auto"/>
        <w:rPr>
          <w:rFonts w:ascii="Calibri" w:eastAsia="Calibri" w:hAnsi="Calibri" w:cs="Calibri"/>
          <w:sz w:val="22"/>
          <w:szCs w:val="22"/>
        </w:rPr>
      </w:pPr>
      <w:r w:rsidRPr="00C14801">
        <w:rPr>
          <w:rFonts w:ascii="Calibri" w:eastAsia="Calibri" w:hAnsi="Calibri" w:cs="Calibri"/>
          <w:b/>
          <w:bCs/>
          <w:sz w:val="22"/>
          <w:szCs w:val="22"/>
        </w:rPr>
        <w:t>Chosen resolution:</w:t>
      </w:r>
      <w:r w:rsidRPr="00C14801">
        <w:rPr>
          <w:rFonts w:ascii="Calibri" w:eastAsia="Calibri" w:hAnsi="Calibri" w:cs="Calibri"/>
          <w:sz w:val="22"/>
          <w:szCs w:val="22"/>
        </w:rPr>
        <w:t xml:space="preserve"> Implement session windowing directly in the .NET Event Processor using Redis TTL-based expiry as the inactivity timer. The windowing requirement here is a single, simple gap-based window — not multiple joined streams or complex temporal aggregations — so the operational cost of a dedicated framework isn't justified by the actual complexity of the problem.</w:t>
      </w:r>
    </w:p>
    <w:p w:rsidR="00C14801" w:rsidRPr="00C14801" w:rsidRDefault="00C14801" w:rsidP="00C14801">
      <w:pPr>
        <w:pStyle w:val="ListParagraph"/>
        <w:numPr>
          <w:ilvl w:val="0"/>
          <w:numId w:val="2"/>
        </w:numPr>
        <w:spacing w:after="90" w:line="270" w:lineRule="auto"/>
        <w:rPr>
          <w:rFonts w:ascii="Calibri" w:eastAsia="Calibri" w:hAnsi="Calibri" w:cs="Calibri"/>
          <w:sz w:val="22"/>
          <w:szCs w:val="22"/>
        </w:rPr>
      </w:pPr>
      <w:r w:rsidRPr="00C14801">
        <w:rPr>
          <w:rFonts w:ascii="Calibri" w:eastAsia="Calibri" w:hAnsi="Calibri" w:cs="Calibri"/>
          <w:b/>
          <w:bCs/>
          <w:sz w:val="22"/>
          <w:szCs w:val="22"/>
        </w:rPr>
        <w:t>Alternative rejected:</w:t>
      </w:r>
      <w:r w:rsidRPr="00C14801">
        <w:rPr>
          <w:rFonts w:ascii="Calibri" w:eastAsia="Calibri" w:hAnsi="Calibri" w:cs="Calibri"/>
          <w:sz w:val="22"/>
          <w:szCs w:val="22"/>
        </w:rPr>
        <w:t xml:space="preserve"> Google Cloud Dataflow. Would provide stronger guarantees around late/out-of-order events and built-in watermarking, at the cost of an additional managed service and a new technology the team would need to operate.</w:t>
      </w:r>
    </w:p>
    <w:p w:rsidR="00C14801" w:rsidRPr="00C14801" w:rsidRDefault="00C14801" w:rsidP="00C14801">
      <w:pPr>
        <w:pStyle w:val="ListParagraph"/>
        <w:numPr>
          <w:ilvl w:val="0"/>
          <w:numId w:val="2"/>
        </w:numPr>
        <w:spacing w:after="90" w:line="270" w:lineRule="auto"/>
        <w:rPr>
          <w:rFonts w:ascii="Calibri" w:eastAsia="Calibri" w:hAnsi="Calibri" w:cs="Calibri"/>
          <w:sz w:val="22"/>
          <w:szCs w:val="22"/>
        </w:rPr>
      </w:pPr>
      <w:r w:rsidRPr="00C14801">
        <w:rPr>
          <w:rFonts w:ascii="Calibri" w:eastAsia="Calibri" w:hAnsi="Calibri" w:cs="Calibri"/>
          <w:b/>
          <w:bCs/>
          <w:sz w:val="22"/>
          <w:szCs w:val="22"/>
        </w:rPr>
        <w:t>Trigger to revisit:</w:t>
      </w:r>
      <w:r w:rsidRPr="00C14801">
        <w:rPr>
          <w:rFonts w:ascii="Calibri" w:eastAsia="Calibri" w:hAnsi="Calibri" w:cs="Calibri"/>
          <w:sz w:val="22"/>
          <w:szCs w:val="22"/>
        </w:rPr>
        <w:t xml:space="preserve"> If future requirements introduce multiple joined event streams, complex multi-window aggregations, or a hard requirement for exactly-once </w:t>
      </w:r>
      <w:proofErr w:type="spellStart"/>
      <w:r w:rsidRPr="00C14801">
        <w:rPr>
          <w:rFonts w:ascii="Calibri" w:eastAsia="Calibri" w:hAnsi="Calibri" w:cs="Calibri"/>
          <w:sz w:val="22"/>
          <w:szCs w:val="22"/>
        </w:rPr>
        <w:t>stateful</w:t>
      </w:r>
      <w:proofErr w:type="spellEnd"/>
      <w:r w:rsidRPr="00C14801">
        <w:rPr>
          <w:rFonts w:ascii="Calibri" w:eastAsia="Calibri" w:hAnsi="Calibri" w:cs="Calibri"/>
          <w:sz w:val="22"/>
          <w:szCs w:val="22"/>
        </w:rPr>
        <w:t xml:space="preserve"> processing at very high scale, a dedicated framework would become justified — the custom approach is proportionate to today's single-window need, not a permanent ceiling.</w:t>
      </w:r>
    </w:p>
    <w:p w:rsidR="00C14801" w:rsidRDefault="00C14801" w:rsidP="00C14801">
      <w:pPr>
        <w:spacing w:after="90" w:line="270" w:lineRule="auto"/>
      </w:pPr>
      <w:bookmarkStart w:id="0" w:name="_GoBack"/>
      <w:bookmarkEnd w:id="0"/>
    </w:p>
    <w:p w:rsidR="000B52DD" w:rsidRPr="003B3A95" w:rsidRDefault="001B0FA8" w:rsidP="003B3A95">
      <w:pPr>
        <w:pStyle w:val="Heading1"/>
        <w:pBdr>
          <w:bottom w:val="single" w:sz="8" w:space="4" w:color="2E74B5"/>
        </w:pBdr>
        <w:spacing w:before="420" w:after="220"/>
        <w:rPr>
          <w:rFonts w:ascii="Calibri" w:eastAsia="Calibri" w:hAnsi="Calibri" w:cs="Calibri"/>
          <w:b/>
          <w:bCs/>
          <w:color w:val="1F3864"/>
        </w:rPr>
      </w:pPr>
      <w:r>
        <w:rPr>
          <w:rFonts w:ascii="Calibri" w:eastAsia="Calibri" w:hAnsi="Calibri" w:cs="Calibri"/>
          <w:b/>
          <w:bCs/>
          <w:color w:val="1F3864"/>
        </w:rPr>
        <w:t>15. Conclusion</w:t>
      </w:r>
    </w:p>
    <w:p w:rsidR="000B52DD" w:rsidRDefault="001B0FA8">
      <w:pPr>
        <w:spacing w:after="160" w:line="276" w:lineRule="auto"/>
      </w:pPr>
      <w:r>
        <w:rPr>
          <w:rFonts w:ascii="Calibri" w:eastAsia="Calibri" w:hAnsi="Calibri" w:cs="Calibri"/>
          <w:sz w:val="22"/>
          <w:szCs w:val="22"/>
        </w:rPr>
        <w:t>T</w:t>
      </w:r>
      <w:r>
        <w:rPr>
          <w:rFonts w:ascii="Calibri" w:eastAsia="Calibri" w:hAnsi="Calibri" w:cs="Calibri"/>
          <w:sz w:val="22"/>
          <w:szCs w:val="22"/>
        </w:rPr>
        <w:t xml:space="preserve">he proposed architecture is designed to balance scalability, maintainability, and operational simplicity while supporting billions of customer interaction events per </w:t>
      </w:r>
      <w:r>
        <w:rPr>
          <w:rFonts w:ascii="Calibri" w:eastAsia="Calibri" w:hAnsi="Calibri" w:cs="Calibri"/>
          <w:sz w:val="22"/>
          <w:szCs w:val="22"/>
        </w:rPr>
        <w:t>day. By combining asynchronous event processing, multi-tenant isolation, CQRS-inspired data separation, and managed cloud services, the platform provides a scalable foundation that can evolve incrementally as business requirements grow. The architecture le</w:t>
      </w:r>
      <w:r>
        <w:rPr>
          <w:rFonts w:ascii="Calibri" w:eastAsia="Calibri" w:hAnsi="Calibri" w:cs="Calibri"/>
          <w:sz w:val="22"/>
          <w:szCs w:val="22"/>
        </w:rPr>
        <w:t>verages managed Google Cloud Platform services together with .NET, SQL Server, Redis, and BigQuery to deliver a maintainable and extensible solution aligned with current business requirements and future growth.</w:t>
      </w:r>
    </w:p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Solution Summary</w:t>
      </w:r>
    </w:p>
    <w:tbl>
      <w:tblPr>
        <w:tblW w:w="972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D9D9D9"/>
          <w:insideV w:val="single" w:sz="4" w:space="0" w:color="D9D9D9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12"/>
        <w:gridCol w:w="7008"/>
      </w:tblGrid>
      <w:tr w:rsidR="000B52DD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Area</w:t>
            </w:r>
          </w:p>
        </w:tc>
        <w:tc>
          <w:tcPr>
            <w:tcW w:w="6720" w:type="dxa"/>
            <w:shd w:val="clear" w:color="auto" w:fill="1F3864"/>
            <w:tcMar>
              <w:top w:w="100" w:type="dxa"/>
              <w:left w:w="120" w:type="dxa"/>
              <w:bottom w:w="100" w:type="dxa"/>
              <w:right w:w="120" w:type="dxa"/>
            </w:tcMar>
          </w:tcPr>
          <w:p w:rsidR="000B52DD" w:rsidRDefault="001B0FA8">
            <w:r>
              <w:rPr>
                <w:rFonts w:ascii="Calibri" w:eastAsia="Calibri" w:hAnsi="Calibri" w:cs="Calibri"/>
                <w:b/>
                <w:bCs/>
                <w:color w:val="FFFFFF"/>
              </w:rPr>
              <w:t>Proposed Solution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Architecture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Hybrid (REST + Event-Driven)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Platform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Cloud Platform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Backend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.NET / C#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Messaging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Pub/Sub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Operational Database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SQL Server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Cache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Redis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lastRenderedPageBreak/>
              <w:t>Analytics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BigQuery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Deployment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Google Kubernetes Engine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Security</w:t>
            </w:r>
          </w:p>
        </w:tc>
        <w:tc>
          <w:tcPr>
            <w:tcW w:w="6720" w:type="dxa"/>
            <w:shd w:val="clear" w:color="auto" w:fill="FFFFFF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OAuth 2.0, JWT, RBAC</w:t>
            </w:r>
          </w:p>
        </w:tc>
      </w:tr>
      <w:tr w:rsidR="000B52DD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Observability</w:t>
            </w:r>
          </w:p>
        </w:tc>
        <w:tc>
          <w:tcPr>
            <w:tcW w:w="6720" w:type="dxa"/>
            <w:shd w:val="clear" w:color="auto" w:fill="F2F7FC"/>
            <w:tcMar>
              <w:top w:w="90" w:type="dxa"/>
              <w:left w:w="120" w:type="dxa"/>
              <w:bottom w:w="90" w:type="dxa"/>
              <w:right w:w="120" w:type="dxa"/>
            </w:tcMar>
          </w:tcPr>
          <w:p w:rsidR="000B52DD" w:rsidRDefault="001B0FA8">
            <w:pPr>
              <w:spacing w:line="260" w:lineRule="auto"/>
            </w:pPr>
            <w:r>
              <w:rPr>
                <w:rFonts w:ascii="Calibri" w:eastAsia="Calibri" w:hAnsi="Calibri" w:cs="Calibri"/>
              </w:rPr>
              <w:t>Cloud Monitoring, Cloud Logging, Open Telemetry</w:t>
            </w:r>
          </w:p>
        </w:tc>
      </w:tr>
    </w:tbl>
    <w:p w:rsidR="000B52DD" w:rsidRDefault="001B0FA8">
      <w:pPr>
        <w:pStyle w:val="Heading2"/>
        <w:spacing w:before="260" w:after="130"/>
      </w:pPr>
      <w:r>
        <w:rPr>
          <w:rFonts w:ascii="Calibri" w:eastAsia="Calibri" w:hAnsi="Calibri" w:cs="Calibri"/>
          <w:b/>
          <w:bCs/>
          <w:sz w:val="25"/>
          <w:szCs w:val="25"/>
        </w:rPr>
        <w:t>Key Outcomes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Cloud-native and scalable architecture.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Secure multi-tenant platform.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Near real-time event processing.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Operational and analytical workload separation.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Production-ready deployment model.</w:t>
      </w:r>
    </w:p>
    <w:p w:rsidR="000B52DD" w:rsidRDefault="001B0FA8">
      <w:pPr>
        <w:pStyle w:val="ListParagraph"/>
        <w:numPr>
          <w:ilvl w:val="0"/>
          <w:numId w:val="2"/>
        </w:numPr>
        <w:spacing w:after="90" w:line="270" w:lineRule="auto"/>
      </w:pPr>
      <w:r>
        <w:rPr>
          <w:rFonts w:ascii="Calibri" w:eastAsia="Calibri" w:hAnsi="Calibri" w:cs="Calibri"/>
          <w:sz w:val="22"/>
          <w:szCs w:val="22"/>
        </w:rPr>
        <w:t>Extensible foundation for future capabilities.</w:t>
      </w:r>
    </w:p>
    <w:sectPr w:rsidR="000B52DD">
      <w:headerReference w:type="default" r:id="rId17"/>
      <w:footerReference w:type="default" r:id="rId18"/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B0FA8" w:rsidRDefault="001B0FA8">
      <w:r>
        <w:separator/>
      </w:r>
    </w:p>
  </w:endnote>
  <w:endnote w:type="continuationSeparator" w:id="0">
    <w:p w:rsidR="001B0FA8" w:rsidRDefault="001B0F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52DD" w:rsidRDefault="001B0FA8">
    <w:pPr>
      <w:jc w:val="center"/>
    </w:pPr>
    <w:r>
      <w:rPr>
        <w:rFonts w:ascii="Calibri" w:eastAsia="Calibri" w:hAnsi="Calibri" w:cs="Calibri"/>
        <w:color w:val="999999"/>
        <w:sz w:val="16"/>
        <w:szCs w:val="16"/>
      </w:rPr>
      <w:t xml:space="preserve">Page </w:t>
    </w:r>
    <w:r>
      <w:rPr>
        <w:rFonts w:ascii="Calibri" w:eastAsia="Calibri" w:hAnsi="Calibri" w:cs="Calibri"/>
        <w:color w:val="999999"/>
        <w:sz w:val="16"/>
        <w:szCs w:val="16"/>
      </w:rPr>
      <w:fldChar w:fldCharType="begin"/>
    </w:r>
    <w:r>
      <w:rPr>
        <w:rFonts w:ascii="Calibri" w:eastAsia="Calibri" w:hAnsi="Calibri" w:cs="Calibri"/>
        <w:color w:val="999999"/>
        <w:sz w:val="16"/>
        <w:szCs w:val="16"/>
      </w:rPr>
      <w:instrText>PAGE</w:instrText>
    </w:r>
    <w:r w:rsidR="002050D0">
      <w:rPr>
        <w:rFonts w:ascii="Calibri" w:eastAsia="Calibri" w:hAnsi="Calibri" w:cs="Calibri"/>
        <w:color w:val="999999"/>
        <w:sz w:val="16"/>
        <w:szCs w:val="16"/>
      </w:rPr>
      <w:fldChar w:fldCharType="separate"/>
    </w:r>
    <w:r w:rsidR="00C14801">
      <w:rPr>
        <w:rFonts w:ascii="Calibri" w:eastAsia="Calibri" w:hAnsi="Calibri" w:cs="Calibri"/>
        <w:noProof/>
        <w:color w:val="999999"/>
        <w:sz w:val="16"/>
        <w:szCs w:val="16"/>
      </w:rPr>
      <w:t>21</w:t>
    </w:r>
    <w:r>
      <w:rPr>
        <w:rFonts w:ascii="Calibri" w:eastAsia="Calibri" w:hAnsi="Calibri" w:cs="Calibri"/>
        <w:color w:val="999999"/>
        <w:sz w:val="16"/>
        <w:szCs w:val="16"/>
      </w:rPr>
      <w:fldChar w:fldCharType="end"/>
    </w:r>
    <w:r>
      <w:rPr>
        <w:rFonts w:ascii="Calibri" w:eastAsia="Calibri" w:hAnsi="Calibri" w:cs="Calibri"/>
        <w:color w:val="999999"/>
        <w:sz w:val="16"/>
        <w:szCs w:val="16"/>
      </w:rPr>
      <w:t xml:space="preserve"> of </w:t>
    </w:r>
    <w:r>
      <w:rPr>
        <w:rFonts w:ascii="Calibri" w:eastAsia="Calibri" w:hAnsi="Calibri" w:cs="Calibri"/>
        <w:color w:val="999999"/>
        <w:sz w:val="16"/>
        <w:szCs w:val="16"/>
      </w:rPr>
      <w:fldChar w:fldCharType="begin"/>
    </w:r>
    <w:r>
      <w:rPr>
        <w:rFonts w:ascii="Calibri" w:eastAsia="Calibri" w:hAnsi="Calibri" w:cs="Calibri"/>
        <w:color w:val="999999"/>
        <w:sz w:val="16"/>
        <w:szCs w:val="16"/>
      </w:rPr>
      <w:instrText>NUMPAGES</w:instrText>
    </w:r>
    <w:r w:rsidR="002050D0">
      <w:rPr>
        <w:rFonts w:ascii="Calibri" w:eastAsia="Calibri" w:hAnsi="Calibri" w:cs="Calibri"/>
        <w:color w:val="999999"/>
        <w:sz w:val="16"/>
        <w:szCs w:val="16"/>
      </w:rPr>
      <w:fldChar w:fldCharType="separate"/>
    </w:r>
    <w:r w:rsidR="00C14801">
      <w:rPr>
        <w:rFonts w:ascii="Calibri" w:eastAsia="Calibri" w:hAnsi="Calibri" w:cs="Calibri"/>
        <w:noProof/>
        <w:color w:val="999999"/>
        <w:sz w:val="16"/>
        <w:szCs w:val="16"/>
      </w:rPr>
      <w:t>23</w:t>
    </w:r>
    <w:r>
      <w:rPr>
        <w:rFonts w:ascii="Calibri" w:eastAsia="Calibri" w:hAnsi="Calibri" w:cs="Calibri"/>
        <w:color w:val="99999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B0FA8" w:rsidRDefault="001B0FA8">
      <w:r>
        <w:separator/>
      </w:r>
    </w:p>
  </w:footnote>
  <w:footnote w:type="continuationSeparator" w:id="0">
    <w:p w:rsidR="001B0FA8" w:rsidRDefault="001B0F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B52DD" w:rsidRDefault="001B0FA8">
    <w:pPr>
      <w:jc w:val="right"/>
    </w:pPr>
    <w:r>
      <w:rPr>
        <w:rFonts w:ascii="Calibri" w:eastAsia="Calibri" w:hAnsi="Calibri" w:cs="Calibri"/>
        <w:color w:val="999999"/>
        <w:sz w:val="16"/>
        <w:szCs w:val="16"/>
      </w:rPr>
      <w:t>Retail Media Intelligence Platform — Architecture Design Proposal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CC375CF"/>
    <w:multiLevelType w:val="multilevel"/>
    <w:tmpl w:val="D032A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DDD3988"/>
    <w:multiLevelType w:val="hybridMultilevel"/>
    <w:tmpl w:val="B584372C"/>
    <w:lvl w:ilvl="0" w:tplc="261660CC">
      <w:start w:val="1"/>
      <w:numFmt w:val="bullet"/>
      <w:lvlText w:val="●"/>
      <w:lvlJc w:val="left"/>
      <w:pPr>
        <w:ind w:left="720" w:hanging="360"/>
      </w:pPr>
    </w:lvl>
    <w:lvl w:ilvl="1" w:tplc="F410A7BE">
      <w:start w:val="1"/>
      <w:numFmt w:val="bullet"/>
      <w:lvlText w:val="○"/>
      <w:lvlJc w:val="left"/>
      <w:pPr>
        <w:ind w:left="1440" w:hanging="360"/>
      </w:pPr>
    </w:lvl>
    <w:lvl w:ilvl="2" w:tplc="C0D07DBA">
      <w:start w:val="1"/>
      <w:numFmt w:val="bullet"/>
      <w:lvlText w:val="■"/>
      <w:lvlJc w:val="left"/>
      <w:pPr>
        <w:ind w:left="2160" w:hanging="360"/>
      </w:pPr>
    </w:lvl>
    <w:lvl w:ilvl="3" w:tplc="A99446F8">
      <w:start w:val="1"/>
      <w:numFmt w:val="bullet"/>
      <w:lvlText w:val="●"/>
      <w:lvlJc w:val="left"/>
      <w:pPr>
        <w:ind w:left="2880" w:hanging="360"/>
      </w:pPr>
    </w:lvl>
    <w:lvl w:ilvl="4" w:tplc="10283B60">
      <w:start w:val="1"/>
      <w:numFmt w:val="bullet"/>
      <w:lvlText w:val="○"/>
      <w:lvlJc w:val="left"/>
      <w:pPr>
        <w:ind w:left="3600" w:hanging="360"/>
      </w:pPr>
    </w:lvl>
    <w:lvl w:ilvl="5" w:tplc="459265BE">
      <w:start w:val="1"/>
      <w:numFmt w:val="bullet"/>
      <w:lvlText w:val="■"/>
      <w:lvlJc w:val="left"/>
      <w:pPr>
        <w:ind w:left="4320" w:hanging="360"/>
      </w:pPr>
    </w:lvl>
    <w:lvl w:ilvl="6" w:tplc="BE7AEF38">
      <w:start w:val="1"/>
      <w:numFmt w:val="bullet"/>
      <w:lvlText w:val="●"/>
      <w:lvlJc w:val="left"/>
      <w:pPr>
        <w:ind w:left="5040" w:hanging="360"/>
      </w:pPr>
    </w:lvl>
    <w:lvl w:ilvl="7" w:tplc="FC829696">
      <w:start w:val="1"/>
      <w:numFmt w:val="bullet"/>
      <w:lvlText w:val="●"/>
      <w:lvlJc w:val="left"/>
      <w:pPr>
        <w:ind w:left="5760" w:hanging="360"/>
      </w:pPr>
    </w:lvl>
    <w:lvl w:ilvl="8" w:tplc="9C36652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61A44B6"/>
    <w:multiLevelType w:val="hybridMultilevel"/>
    <w:tmpl w:val="6D606322"/>
    <w:lvl w:ilvl="0" w:tplc="6B2287CC">
      <w:start w:val="1"/>
      <w:numFmt w:val="bullet"/>
      <w:lvlText w:val="•"/>
      <w:lvlJc w:val="left"/>
      <w:pPr>
        <w:ind w:left="504" w:hanging="288"/>
      </w:pPr>
    </w:lvl>
    <w:lvl w:ilvl="1" w:tplc="01A2EFB6">
      <w:numFmt w:val="decimal"/>
      <w:lvlText w:val=""/>
      <w:lvlJc w:val="left"/>
    </w:lvl>
    <w:lvl w:ilvl="2" w:tplc="C2FE0C0E">
      <w:numFmt w:val="decimal"/>
      <w:lvlText w:val=""/>
      <w:lvlJc w:val="left"/>
    </w:lvl>
    <w:lvl w:ilvl="3" w:tplc="CC42A1A6">
      <w:numFmt w:val="decimal"/>
      <w:lvlText w:val=""/>
      <w:lvlJc w:val="left"/>
    </w:lvl>
    <w:lvl w:ilvl="4" w:tplc="DABAD022">
      <w:numFmt w:val="decimal"/>
      <w:lvlText w:val=""/>
      <w:lvlJc w:val="left"/>
    </w:lvl>
    <w:lvl w:ilvl="5" w:tplc="55E22C28">
      <w:numFmt w:val="decimal"/>
      <w:lvlText w:val=""/>
      <w:lvlJc w:val="left"/>
    </w:lvl>
    <w:lvl w:ilvl="6" w:tplc="4A6CA7BC">
      <w:numFmt w:val="decimal"/>
      <w:lvlText w:val=""/>
      <w:lvlJc w:val="left"/>
    </w:lvl>
    <w:lvl w:ilvl="7" w:tplc="550875C0">
      <w:numFmt w:val="decimal"/>
      <w:lvlText w:val=""/>
      <w:lvlJc w:val="left"/>
    </w:lvl>
    <w:lvl w:ilvl="8" w:tplc="B4AEF122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52DD"/>
    <w:rsid w:val="000B52DD"/>
    <w:rsid w:val="00192414"/>
    <w:rsid w:val="001B0FA8"/>
    <w:rsid w:val="002050D0"/>
    <w:rsid w:val="003159F6"/>
    <w:rsid w:val="003B3A95"/>
    <w:rsid w:val="004B5426"/>
    <w:rsid w:val="00527519"/>
    <w:rsid w:val="005C58B7"/>
    <w:rsid w:val="005E1BAB"/>
    <w:rsid w:val="00657E7D"/>
    <w:rsid w:val="00697402"/>
    <w:rsid w:val="008215BC"/>
    <w:rsid w:val="00847DA5"/>
    <w:rsid w:val="00870E8D"/>
    <w:rsid w:val="00BC08F4"/>
    <w:rsid w:val="00C01016"/>
    <w:rsid w:val="00C14801"/>
    <w:rsid w:val="00C445D8"/>
    <w:rsid w:val="00C70CAA"/>
    <w:rsid w:val="00E574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BB3E5D"/>
  <w15:docId w15:val="{BF0DABC1-B657-42F6-BEDE-29B1D3362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Normal"/>
    <w:rsid w:val="00C14801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C1480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934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6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32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23</Pages>
  <Words>3449</Words>
  <Characters>19664</Characters>
  <Application>Microsoft Office Word</Application>
  <DocSecurity>0</DocSecurity>
  <Lines>163</Lines>
  <Paragraphs>46</Paragraphs>
  <ScaleCrop>false</ScaleCrop>
  <Company/>
  <LinksUpToDate>false</LinksUpToDate>
  <CharactersWithSpaces>23067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Bhuvnesh Dixit</cp:lastModifiedBy>
  <cp:revision>38</cp:revision>
  <dcterms:created xsi:type="dcterms:W3CDTF">2026-07-07T17:43:00Z</dcterms:created>
  <dcterms:modified xsi:type="dcterms:W3CDTF">2026-07-08T06:28:00Z</dcterms:modified>
</cp:coreProperties>
</file>