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4.png" ContentType="image/png"/>
  <Override PartName="/word/media/rId25.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Predictability</w:t>
      </w:r>
      <w:r>
        <w:t xml:space="preserve"> </w:t>
      </w:r>
      <w:r>
        <w:t xml:space="preserve">Analysis</w:t>
      </w:r>
      <w:r>
        <w:t xml:space="preserve"> </w:t>
      </w:r>
      <w:r>
        <w:t xml:space="preserve">for</w:t>
      </w:r>
      <w:r>
        <w:t xml:space="preserve"> </w:t>
      </w:r>
      <w:r>
        <w:t xml:space="preserve">Millennium</w:t>
      </w:r>
      <w:r>
        <w:t xml:space="preserve"> </w:t>
      </w:r>
      <w:r>
        <w:t xml:space="preserve">Tower</w:t>
      </w:r>
    </w:p>
    <w:p>
      <w:pPr>
        <w:pStyle w:val="Date"/>
      </w:pPr>
      <w:r>
        <w:t xml:space="preserve">09</w:t>
      </w:r>
      <w:r>
        <w:t xml:space="preserve"> </w:t>
      </w:r>
      <w:r>
        <w:t xml:space="preserve">February,</w:t>
      </w:r>
      <w:r>
        <w:t xml:space="preserve"> </w:t>
      </w:r>
      <w:r>
        <w:t xml:space="preserve">2021</w:t>
      </w:r>
    </w:p>
    <w:p>
      <w:pPr>
        <w:pStyle w:val="Heading2"/>
      </w:pPr>
      <w:bookmarkStart w:id="20" w:name="predictability-analysis-purpose"/>
      <w:r>
        <w:t xml:space="preserve">Predictability Analysis Purpose</w:t>
      </w:r>
      <w:bookmarkEnd w:id="20"/>
    </w:p>
    <w:p>
      <w:pPr>
        <w:pStyle w:val="FirstParagraph"/>
      </w:pPr>
      <w:r>
        <w:t xml:space="preserve">The purpose of the model predictability analysis is to determine whether the building’s baseline energy use can be reliably determined over the duration of the project. Using empirical models, a building is considered predictable if:</w:t>
      </w:r>
    </w:p>
    <w:p>
      <w:pPr>
        <w:pStyle w:val="Compact"/>
        <w:numPr>
          <w:numId w:val="1001"/>
          <w:ilvl w:val="0"/>
        </w:numPr>
      </w:pPr>
      <w:r>
        <w:t xml:space="preserve">A model can be developed that meets certain goodness of fit and accuracy metrics as defined in this report, and</w:t>
      </w:r>
    </w:p>
    <w:p>
      <w:pPr>
        <w:pStyle w:val="Compact"/>
        <w:numPr>
          <w:numId w:val="1001"/>
          <w:ilvl w:val="0"/>
        </w:numPr>
      </w:pPr>
      <w:r>
        <w:t xml:space="preserve">The risk of non-routine events is limited or non-existent.</w:t>
      </w:r>
    </w:p>
    <w:p>
      <w:pPr>
        <w:pStyle w:val="FirstParagraph"/>
      </w:pPr>
      <w:r>
        <w:t xml:space="preserve">The purpose of this report is to document the findings of the model predictability analysis as a criterion for participation in the EEAS Program. This report documents the data received, the weather data station from which corresponding weather was selected, summary descriptions of the models developed, and a summary table of the key model goodness of fit and accuracy metrics for each model.</w:t>
      </w:r>
    </w:p>
    <w:p>
      <w:r>
        <w:br w:type="page"/>
      </w:r>
    </w:p>
    <w:p>
      <w:pPr>
        <w:pStyle w:val="Heading2"/>
      </w:pPr>
      <w:bookmarkStart w:id="21" w:name="data-summary"/>
      <w:r>
        <w:t xml:space="preserve">Data Summary</w:t>
      </w:r>
      <w:bookmarkEnd w:id="21"/>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Utility Data Specification</w:t>
            </w:r>
          </w:p>
        </w:tc>
      </w:tr>
      <w:tr>
        <w:tc>
          <w:p>
            <w:pPr>
              <w:pStyle w:val="Compact"/>
              <w:jc w:val="left"/>
            </w:pPr>
            <w:r>
              <w:t xml:space="preserve">eload</w:t>
            </w:r>
          </w:p>
        </w:tc>
        <w:tc>
          <w:p>
            <w:pPr>
              <w:pStyle w:val="Compact"/>
              <w:jc w:val="left"/>
            </w:pPr>
            <w:r>
              <w:t xml:space="preserve">Electricity</w:t>
            </w:r>
          </w:p>
        </w:tc>
      </w:tr>
      <w:tr>
        <w:tc>
          <w:p>
            <w:pPr>
              <w:pStyle w:val="Compact"/>
              <w:jc w:val="left"/>
            </w:pPr>
            <w:r>
              <w:t xml:space="preserve">Source</w:t>
            </w:r>
          </w:p>
        </w:tc>
        <w:tc>
          <w:p>
            <w:pPr>
              <w:pStyle w:val="Compact"/>
              <w:jc w:val="left"/>
            </w:pPr>
            <w:r>
              <w:t xml:space="preserve">Seattle City &amp; Light</w:t>
            </w:r>
          </w:p>
        </w:tc>
      </w:tr>
      <w:tr>
        <w:tc>
          <w:p>
            <w:pPr>
              <w:pStyle w:val="Compact"/>
              <w:jc w:val="left"/>
            </w:pPr>
            <w:r>
              <w:t xml:space="preserve">Received Date</w:t>
            </w:r>
          </w:p>
        </w:tc>
        <w:tc>
          <w:p>
            <w:pPr>
              <w:pStyle w:val="Compact"/>
              <w:jc w:val="left"/>
            </w:pPr>
            <w:r>
              <w:t xml:space="preserve">02/02/2021</w:t>
            </w:r>
          </w:p>
        </w:tc>
      </w:tr>
      <w:tr>
        <w:tc>
          <w:p>
            <w:pPr>
              <w:pStyle w:val="Compact"/>
              <w:jc w:val="left"/>
            </w:pPr>
            <w:r>
              <w:t xml:space="preserve">Data Interval</w:t>
            </w:r>
          </w:p>
        </w:tc>
        <w:tc>
          <w:p>
            <w:pPr>
              <w:pStyle w:val="Compact"/>
              <w:jc w:val="left"/>
            </w:pPr>
            <w:r>
              <w:t xml:space="preserve">15 min</w:t>
            </w:r>
          </w:p>
        </w:tc>
      </w:tr>
      <w:tr>
        <w:tc>
          <w:p>
            <w:pPr>
              <w:pStyle w:val="Compact"/>
              <w:jc w:val="left"/>
            </w:pPr>
            <w:r>
              <w:t xml:space="preserve">Start Date</w:t>
            </w:r>
          </w:p>
        </w:tc>
        <w:tc>
          <w:p>
            <w:pPr>
              <w:pStyle w:val="Compact"/>
              <w:jc w:val="left"/>
            </w:pPr>
            <w:r>
              <w:t xml:space="preserve">01/01/2019 00:15</w:t>
            </w:r>
          </w:p>
        </w:tc>
      </w:tr>
      <w:tr>
        <w:tc>
          <w:p>
            <w:pPr>
              <w:pStyle w:val="Compact"/>
              <w:jc w:val="left"/>
            </w:pPr>
            <w:r>
              <w:t xml:space="preserve">End Date</w:t>
            </w:r>
          </w:p>
        </w:tc>
        <w:tc>
          <w:p>
            <w:pPr>
              <w:pStyle w:val="Compact"/>
              <w:jc w:val="left"/>
            </w:pPr>
            <w:r>
              <w:t xml:space="preserve">12/31/2020 23:45</w:t>
            </w:r>
          </w:p>
        </w:tc>
      </w:tr>
      <w:tr>
        <w:tc>
          <w:p>
            <w:pPr>
              <w:pStyle w:val="Compact"/>
              <w:jc w:val="left"/>
            </w:pPr>
            <w:r>
              <w:t xml:space="preserve"># Missing Data Points</w:t>
            </w:r>
          </w:p>
        </w:tc>
        <w:tc>
          <w:p>
            <w:pPr>
              <w:pStyle w:val="Compact"/>
              <w:jc w:val="left"/>
            </w:pPr>
            <w:r>
              <w:t xml:space="preserve">0.0</w:t>
            </w:r>
          </w:p>
        </w:tc>
      </w:tr>
      <w:tr>
        <w:tc>
          <w:p>
            <w:pPr>
              <w:pStyle w:val="Compact"/>
              <w:jc w:val="left"/>
            </w:pPr>
            <w:r>
              <w:t xml:space="preserve"># Total Data Points</w:t>
            </w:r>
          </w:p>
        </w:tc>
        <w:tc>
          <w:p>
            <w:pPr>
              <w:pStyle w:val="Compact"/>
              <w:jc w:val="left"/>
            </w:pPr>
            <w:r>
              <w:t xml:space="preserve">69,965.0</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Temperature Data Specification</w:t>
            </w:r>
          </w:p>
        </w:tc>
      </w:tr>
      <w:tr>
        <w:tc>
          <w:p>
            <w:pPr>
              <w:pStyle w:val="Compact"/>
              <w:jc w:val="left"/>
            </w:pPr>
            <w:r>
              <w:t xml:space="preserve">Weather Station</w:t>
            </w:r>
          </w:p>
        </w:tc>
        <w:tc>
          <w:p>
            <w:pPr>
              <w:pStyle w:val="Compact"/>
              <w:jc w:val="left"/>
            </w:pPr>
            <w:r>
              <w:t xml:space="preserve">Boeing Airfield</w:t>
            </w:r>
          </w:p>
        </w:tc>
      </w:tr>
      <w:tr>
        <w:tc>
          <w:p>
            <w:pPr>
              <w:pStyle w:val="Compact"/>
              <w:jc w:val="left"/>
            </w:pPr>
            <w:r>
              <w:t xml:space="preserve">Approx. Distance to Site</w:t>
            </w:r>
          </w:p>
        </w:tc>
        <w:tc>
          <w:p>
            <w:pPr>
              <w:pStyle w:val="Compact"/>
              <w:jc w:val="left"/>
            </w:pPr>
            <w:r>
              <w:t xml:space="preserve">5 mi</w:t>
            </w:r>
          </w:p>
        </w:tc>
      </w:tr>
      <w:tr>
        <w:tc>
          <w:p>
            <w:pPr>
              <w:pStyle w:val="Compact"/>
              <w:jc w:val="left"/>
            </w:pPr>
            <w:r>
              <w:t xml:space="preserve">Data Download Date</w:t>
            </w:r>
          </w:p>
        </w:tc>
        <w:tc>
          <w:p>
            <w:pPr>
              <w:pStyle w:val="Compact"/>
              <w:jc w:val="left"/>
            </w:pPr>
            <w:r>
              <w:t xml:space="preserve">02/08/2021</w:t>
            </w:r>
          </w:p>
        </w:tc>
      </w:tr>
      <w:tr>
        <w:tc>
          <w:p>
            <w:pPr>
              <w:pStyle w:val="Compact"/>
              <w:jc w:val="left"/>
            </w:pPr>
            <w:r>
              <w:t xml:space="preserve">Data Interval</w:t>
            </w:r>
          </w:p>
        </w:tc>
        <w:tc>
          <w:p>
            <w:pPr>
              <w:pStyle w:val="Compact"/>
              <w:jc w:val="left"/>
            </w:pPr>
            <w:r>
              <w:t xml:space="preserve">60 min</w:t>
            </w:r>
          </w:p>
        </w:tc>
      </w:tr>
      <w:tr>
        <w:tc>
          <w:p>
            <w:pPr>
              <w:pStyle w:val="Compact"/>
              <w:jc w:val="left"/>
            </w:pPr>
            <w:r>
              <w:t xml:space="preserve">Start Date</w:t>
            </w:r>
          </w:p>
        </w:tc>
        <w:tc>
          <w:p>
            <w:pPr>
              <w:pStyle w:val="Compact"/>
              <w:jc w:val="left"/>
            </w:pPr>
            <w:r>
              <w:t xml:space="preserve">01/01/2019 00:00</w:t>
            </w:r>
          </w:p>
        </w:tc>
      </w:tr>
      <w:tr>
        <w:tc>
          <w:p>
            <w:pPr>
              <w:pStyle w:val="Compact"/>
              <w:jc w:val="left"/>
            </w:pPr>
            <w:r>
              <w:t xml:space="preserve">End Date</w:t>
            </w:r>
          </w:p>
        </w:tc>
        <w:tc>
          <w:p>
            <w:pPr>
              <w:pStyle w:val="Compact"/>
              <w:jc w:val="left"/>
            </w:pPr>
            <w:r>
              <w:t xml:space="preserve">12/31/2020 23:00</w:t>
            </w:r>
          </w:p>
        </w:tc>
      </w:tr>
      <w:tr>
        <w:tc>
          <w:p>
            <w:pPr>
              <w:pStyle w:val="Compact"/>
              <w:jc w:val="left"/>
            </w:pPr>
            <w:r>
              <w:t xml:space="preserve"># Missing Data Points</w:t>
            </w:r>
          </w:p>
        </w:tc>
        <w:tc>
          <w:p>
            <w:pPr>
              <w:pStyle w:val="Compact"/>
              <w:jc w:val="left"/>
            </w:pPr>
            <w:r>
              <w:t xml:space="preserve">60.0</w:t>
            </w:r>
          </w:p>
        </w:tc>
      </w:tr>
      <w:tr>
        <w:tc>
          <w:p>
            <w:pPr>
              <w:pStyle w:val="Compact"/>
              <w:jc w:val="left"/>
            </w:pPr>
            <w:r>
              <w:t xml:space="preserve"># Total Data Points</w:t>
            </w:r>
          </w:p>
        </w:tc>
        <w:tc>
          <w:p>
            <w:pPr>
              <w:pStyle w:val="Compact"/>
              <w:jc w:val="left"/>
            </w:pPr>
            <w:r>
              <w:t xml:space="preserve">17,532.0</w:t>
            </w:r>
          </w:p>
        </w:tc>
      </w:tr>
      <w:tr>
        <w:tc>
          <w:p>
            <w:pPr>
              <w:pStyle w:val="Compact"/>
              <w:jc w:val="left"/>
            </w:pPr>
            <w:r>
              <w:t xml:space="preserve">TMY data available?</w:t>
            </w:r>
          </w:p>
        </w:tc>
        <w:tc>
          <w:p>
            <w:pPr>
              <w:pStyle w:val="Compact"/>
              <w:jc w:val="left"/>
            </w:pPr>
            <w:r>
              <w:t xml:space="preserve">Yes</w:t>
            </w:r>
          </w:p>
        </w:tc>
      </w:tr>
    </w:tbl>
    <w:p>
      <w:pPr>
        <w:pStyle w:val="BodyText"/>
      </w:pPr>
      <w:r>
        <w:br/>
      </w:r>
    </w:p>
    <w:p>
      <w:pPr>
        <w:pStyle w:val="Heading3"/>
      </w:pPr>
      <w:bookmarkStart w:id="22" w:name="predictability-analysis-period"/>
      <w:r>
        <w:t xml:space="preserve">Predictability Analysis Period</w:t>
      </w:r>
      <w:bookmarkEnd w:id="22"/>
    </w:p>
    <w:tbl>
      <w:tblPr>
        <w:tblStyle w:val="Table"/>
        <w:tblW w:type="pct" w:w="0.0"/>
        <w:tblLook w:firstRow="1"/>
      </w:tblPr>
      <w:tblGrid/>
      <w:tr>
        <w:trPr>
          <w:cnfStyle w:firstRow="1"/>
        </w:trPr>
        <w:tc>
          <w:tcPr>
            <w:tcBorders>
              <w:bottom w:val="single"/>
            </w:tcBorders>
            <w:vAlign w:val="bottom"/>
          </w:tcPr>
          <w:p>
            <w:pPr>
              <w:pStyle w:val="Compact"/>
              <w:jc w:val="left"/>
            </w:pPr>
            <w:r>
              <w:t xml:space="preserve">Start Date</w:t>
            </w:r>
          </w:p>
        </w:tc>
        <w:tc>
          <w:tcPr>
            <w:tcBorders>
              <w:bottom w:val="single"/>
            </w:tcBorders>
            <w:vAlign w:val="bottom"/>
          </w:tcPr>
          <w:p>
            <w:pPr>
              <w:pStyle w:val="Compact"/>
              <w:jc w:val="left"/>
            </w:pPr>
            <w:r>
              <w:t xml:space="preserve">End Date</w:t>
            </w:r>
          </w:p>
        </w:tc>
      </w:tr>
      <w:tr>
        <w:tc>
          <w:p>
            <w:pPr>
              <w:pStyle w:val="Compact"/>
              <w:jc w:val="left"/>
            </w:pPr>
            <w:r>
              <w:t xml:space="preserve">01/01/2020 00:00</w:t>
            </w:r>
          </w:p>
        </w:tc>
        <w:tc>
          <w:p>
            <w:pPr>
              <w:pStyle w:val="Compact"/>
              <w:jc w:val="left"/>
            </w:pPr>
            <w:r>
              <w:t xml:space="preserve">12/31/2020 23:45</w:t>
            </w:r>
          </w:p>
        </w:tc>
      </w:tr>
    </w:tbl>
    <w:p>
      <w:r>
        <w:br w:type="page"/>
      </w:r>
    </w:p>
    <w:p>
      <w:pPr>
        <w:pStyle w:val="Heading2"/>
      </w:pPr>
      <w:bookmarkStart w:id="23" w:name="training-period-models"/>
      <w:r>
        <w:t xml:space="preserve">Training Period Models</w:t>
      </w:r>
      <w:bookmarkEnd w:id="23"/>
    </w:p>
    <w:tbl>
      <w:tblPr>
        <w:tblStyle w:val="Table"/>
        <w:tblW w:type="pct" w:w="4999.999999999999"/>
        <w:tblLook w:firstRow="1"/>
      </w:tblPr>
      <w:tblGrid>
        <w:gridCol w:w="648"/>
        <w:gridCol w:w="648"/>
        <w:gridCol w:w="360"/>
        <w:gridCol w:w="936"/>
        <w:gridCol w:w="792"/>
        <w:gridCol w:w="503"/>
        <w:gridCol w:w="2015"/>
        <w:gridCol w:w="1800"/>
        <w:gridCol w:w="2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Interval</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Adjusted R^2</w:t>
            </w:r>
          </w:p>
        </w:tc>
        <w:tc>
          <w:tcPr>
            <w:tcBorders>
              <w:bottom w:val="single"/>
            </w:tcBorders>
            <w:vAlign w:val="bottom"/>
          </w:tcPr>
          <w:p>
            <w:pPr>
              <w:pStyle w:val="Compact"/>
              <w:jc w:val="right"/>
            </w:pPr>
            <w:r>
              <w:t xml:space="preserve">CV(RMSE) %</w:t>
            </w:r>
          </w:p>
        </w:tc>
        <w:tc>
          <w:tcPr>
            <w:tcBorders>
              <w:bottom w:val="single"/>
            </w:tcBorders>
            <w:vAlign w:val="bottom"/>
          </w:tcPr>
          <w:p>
            <w:pPr>
              <w:pStyle w:val="Compact"/>
              <w:jc w:val="left"/>
            </w:pPr>
            <w:r>
              <w:t xml:space="preserve">NMBE %</w:t>
            </w:r>
          </w:p>
        </w:tc>
        <w:tc>
          <w:tcPr>
            <w:tcBorders>
              <w:bottom w:val="single"/>
            </w:tcBorders>
            <w:vAlign w:val="bottom"/>
          </w:tcPr>
          <w:p>
            <w:pPr>
              <w:pStyle w:val="Compact"/>
              <w:jc w:val="right"/>
            </w:pPr>
            <w:r>
              <w:t xml:space="preserve">Uncertainty for 10% Savings</w:t>
            </w:r>
          </w:p>
        </w:tc>
        <w:tc>
          <w:tcPr>
            <w:tcBorders>
              <w:bottom w:val="single"/>
            </w:tcBorders>
            <w:vAlign w:val="bottom"/>
          </w:tcPr>
          <w:p>
            <w:pPr>
              <w:pStyle w:val="Compact"/>
              <w:jc w:val="right"/>
            </w:pPr>
            <w:r>
              <w:t xml:space="preserve">Savings Frac for 50% Unc</w:t>
            </w:r>
          </w:p>
        </w:tc>
        <w:tc>
          <w:tcPr>
            <w:tcBorders>
              <w:bottom w:val="single"/>
            </w:tcBorders>
            <w:vAlign w:val="bottom"/>
          </w:tcPr>
          <w:p>
            <w:pPr>
              <w:pStyle w:val="Compact"/>
              <w:jc w:val="right"/>
            </w:pPr>
            <w:r>
              <w:t xml:space="preserve">CL</w:t>
            </w:r>
          </w:p>
        </w:tc>
      </w:tr>
      <w:tr>
        <w:tc>
          <w:p>
            <w:pPr>
              <w:pStyle w:val="Compact"/>
              <w:jc w:val="left"/>
            </w:pPr>
            <w:r>
              <w:t xml:space="preserve">TOWT</w:t>
            </w:r>
          </w:p>
        </w:tc>
        <w:tc>
          <w:p>
            <w:pPr>
              <w:pStyle w:val="Compact"/>
              <w:jc w:val="left"/>
            </w:pPr>
            <w:r>
              <w:t xml:space="preserve">Hourly</w:t>
            </w:r>
          </w:p>
        </w:tc>
        <w:tc>
          <w:p>
            <w:pPr>
              <w:pStyle w:val="Compact"/>
              <w:jc w:val="right"/>
            </w:pPr>
            <w:r>
              <w:t xml:space="preserve">0.92</w:t>
            </w:r>
          </w:p>
        </w:tc>
        <w:tc>
          <w:p>
            <w:pPr>
              <w:pStyle w:val="Compact"/>
              <w:jc w:val="right"/>
            </w:pPr>
            <w:r>
              <w:t xml:space="preserve">0.92</w:t>
            </w:r>
          </w:p>
        </w:tc>
        <w:tc>
          <w:p>
            <w:pPr>
              <w:pStyle w:val="Compact"/>
              <w:jc w:val="right"/>
            </w:pPr>
            <w:r>
              <w:t xml:space="preserve">11.82</w:t>
            </w:r>
          </w:p>
        </w:tc>
        <w:tc>
          <w:p>
            <w:pPr>
              <w:pStyle w:val="Compact"/>
              <w:jc w:val="left"/>
            </w:pPr>
            <w:r>
              <w:t xml:space="preserve">0.000</w:t>
            </w:r>
          </w:p>
        </w:tc>
        <w:tc>
          <w:p>
            <w:pPr>
              <w:pStyle w:val="Compact"/>
              <w:jc w:val="right"/>
            </w:pPr>
            <w:r>
              <w:t xml:space="preserve">0.10</w:t>
            </w:r>
          </w:p>
        </w:tc>
        <w:tc>
          <w:p>
            <w:pPr>
              <w:pStyle w:val="Compact"/>
              <w:jc w:val="right"/>
            </w:pPr>
            <w:r>
              <w:t xml:space="preserve">0.02</w:t>
            </w:r>
          </w:p>
        </w:tc>
        <w:tc>
          <w:p>
            <w:pPr>
              <w:pStyle w:val="Compact"/>
              <w:jc w:val="right"/>
            </w:pPr>
            <w:r>
              <w:t xml:space="preserve">90</w:t>
            </w:r>
          </w:p>
        </w:tc>
      </w:tr>
      <w:tr>
        <w:tc>
          <w:p>
            <w:pPr>
              <w:pStyle w:val="Compact"/>
              <w:jc w:val="left"/>
            </w:pPr>
            <w:r>
              <w:t xml:space="preserve">TOW</w:t>
            </w:r>
          </w:p>
        </w:tc>
        <w:tc>
          <w:p>
            <w:pPr>
              <w:pStyle w:val="Compact"/>
              <w:jc w:val="left"/>
            </w:pPr>
            <w:r>
              <w:t xml:space="preserve">Hourly</w:t>
            </w:r>
          </w:p>
        </w:tc>
        <w:tc>
          <w:p>
            <w:pPr>
              <w:pStyle w:val="Compact"/>
              <w:jc w:val="right"/>
            </w:pPr>
            <w:r>
              <w:t xml:space="preserve">0.78</w:t>
            </w:r>
          </w:p>
        </w:tc>
        <w:tc>
          <w:p>
            <w:pPr>
              <w:pStyle w:val="Compact"/>
              <w:jc w:val="right"/>
            </w:pPr>
            <w:r>
              <w:t xml:space="preserve">0.78</w:t>
            </w:r>
          </w:p>
        </w:tc>
        <w:tc>
          <w:p>
            <w:pPr>
              <w:pStyle w:val="Compact"/>
              <w:jc w:val="right"/>
            </w:pPr>
            <w:r>
              <w:t xml:space="preserve">19.14</w:t>
            </w:r>
          </w:p>
        </w:tc>
        <w:tc>
          <w:p>
            <w:pPr>
              <w:pStyle w:val="Compact"/>
              <w:jc w:val="left"/>
            </w:pPr>
            <w:r>
              <w:t xml:space="preserve">0.000</w:t>
            </w:r>
          </w:p>
        </w:tc>
        <w:tc>
          <w:p>
            <w:pPr>
              <w:pStyle w:val="Compact"/>
              <w:jc w:val="right"/>
            </w:pPr>
            <w:r>
              <w:t xml:space="preserve">0.48</w:t>
            </w:r>
          </w:p>
        </w:tc>
        <w:tc>
          <w:p>
            <w:pPr>
              <w:pStyle w:val="Compact"/>
              <w:jc w:val="right"/>
            </w:pPr>
            <w:r>
              <w:t xml:space="preserve">0.10</w:t>
            </w:r>
          </w:p>
        </w:tc>
        <w:tc>
          <w:p>
            <w:pPr>
              <w:pStyle w:val="Compact"/>
              <w:jc w:val="right"/>
            </w:pPr>
            <w:r>
              <w:t xml:space="preserve">90</w:t>
            </w:r>
          </w:p>
        </w:tc>
      </w:tr>
      <w:tr>
        <w:tc>
          <w:p>
            <w:pPr>
              <w:pStyle w:val="Compact"/>
              <w:jc w:val="left"/>
            </w:pPr>
            <w:r>
              <w:t xml:space="preserve">Four_P</w:t>
            </w:r>
          </w:p>
        </w:tc>
        <w:tc>
          <w:p>
            <w:pPr>
              <w:pStyle w:val="Compact"/>
              <w:jc w:val="left"/>
            </w:pPr>
            <w:r>
              <w:t xml:space="preserve">Hourly</w:t>
            </w:r>
          </w:p>
        </w:tc>
        <w:tc>
          <w:p>
            <w:pPr>
              <w:pStyle w:val="Compact"/>
              <w:jc w:val="right"/>
            </w:pPr>
            <w:r>
              <w:t xml:space="preserve">0.09</w:t>
            </w:r>
          </w:p>
        </w:tc>
        <w:tc>
          <w:p>
            <w:pPr>
              <w:pStyle w:val="Compact"/>
              <w:jc w:val="right"/>
            </w:pPr>
            <w:r>
              <w:t xml:space="preserve">0.09</w:t>
            </w:r>
          </w:p>
        </w:tc>
        <w:tc>
          <w:p>
            <w:pPr>
              <w:pStyle w:val="Compact"/>
              <w:jc w:val="right"/>
            </w:pPr>
            <w:r>
              <w:t xml:space="preserve">38.73</w:t>
            </w:r>
          </w:p>
        </w:tc>
        <w:tc>
          <w:p>
            <w:pPr>
              <w:pStyle w:val="Compact"/>
              <w:jc w:val="left"/>
            </w:pPr>
            <w:r>
              <w:t xml:space="preserve">0.000</w:t>
            </w:r>
          </w:p>
        </w:tc>
        <w:tc>
          <w:p>
            <w:pPr>
              <w:pStyle w:val="Compact"/>
              <w:jc w:val="right"/>
            </w:pPr>
            <w:r>
              <w:t xml:space="preserve">0.49</w:t>
            </w:r>
          </w:p>
        </w:tc>
        <w:tc>
          <w:p>
            <w:pPr>
              <w:pStyle w:val="Compact"/>
              <w:jc w:val="right"/>
            </w:pPr>
            <w:r>
              <w:t xml:space="preserve">0.10</w:t>
            </w:r>
          </w:p>
        </w:tc>
        <w:tc>
          <w:p>
            <w:pPr>
              <w:pStyle w:val="Compact"/>
              <w:jc w:val="right"/>
            </w:pPr>
            <w:r>
              <w:t xml:space="preserve">90</w:t>
            </w:r>
          </w:p>
        </w:tc>
      </w:tr>
      <w:tr>
        <w:tc>
          <w:p>
            <w:pPr>
              <w:pStyle w:val="Compact"/>
              <w:jc w:val="left"/>
            </w:pPr>
            <w:r>
              <w:t xml:space="preserve">Three_PH</w:t>
            </w:r>
          </w:p>
        </w:tc>
        <w:tc>
          <w:p>
            <w:pPr>
              <w:pStyle w:val="Compact"/>
              <w:jc w:val="left"/>
            </w:pPr>
            <w:r>
              <w:t xml:space="preserve">Hourly</w:t>
            </w:r>
          </w:p>
        </w:tc>
        <w:tc>
          <w:p>
            <w:pPr>
              <w:pStyle w:val="Compact"/>
              <w:jc w:val="right"/>
            </w:pPr>
            <w:r>
              <w:t xml:space="preserve">0.06</w:t>
            </w:r>
          </w:p>
        </w:tc>
        <w:tc>
          <w:p>
            <w:pPr>
              <w:pStyle w:val="Compact"/>
              <w:jc w:val="right"/>
            </w:pPr>
            <w:r>
              <w:t xml:space="preserve">0.06</w:t>
            </w:r>
          </w:p>
        </w:tc>
        <w:tc>
          <w:p>
            <w:pPr>
              <w:pStyle w:val="Compact"/>
              <w:jc w:val="right"/>
            </w:pPr>
            <w:r>
              <w:t xml:space="preserve">39.27</w:t>
            </w:r>
          </w:p>
        </w:tc>
        <w:tc>
          <w:p>
            <w:pPr>
              <w:pStyle w:val="Compact"/>
              <w:jc w:val="left"/>
            </w:pPr>
            <w:r>
              <w:t xml:space="preserve">0.000</w:t>
            </w:r>
          </w:p>
        </w:tc>
        <w:tc>
          <w:p>
            <w:pPr>
              <w:pStyle w:val="Compact"/>
              <w:jc w:val="right"/>
            </w:pPr>
            <w:r>
              <w:t xml:space="preserve">0.50</w:t>
            </w:r>
          </w:p>
        </w:tc>
        <w:tc>
          <w:p>
            <w:pPr>
              <w:pStyle w:val="Compact"/>
              <w:jc w:val="right"/>
            </w:pPr>
            <w:r>
              <w:t xml:space="preserve">0.10</w:t>
            </w:r>
          </w:p>
        </w:tc>
        <w:tc>
          <w:p>
            <w:pPr>
              <w:pStyle w:val="Compact"/>
              <w:jc w:val="right"/>
            </w:pPr>
            <w:r>
              <w:t xml:space="preserve">90</w:t>
            </w:r>
          </w:p>
        </w:tc>
      </w:tr>
      <w:tr>
        <w:tc>
          <w:p>
            <w:pPr>
              <w:pStyle w:val="Compact"/>
              <w:jc w:val="left"/>
            </w:pPr>
            <w:r>
              <w:t xml:space="preserve">SLR</w:t>
            </w:r>
          </w:p>
        </w:tc>
        <w:tc>
          <w:p>
            <w:pPr>
              <w:pStyle w:val="Compact"/>
              <w:jc w:val="left"/>
            </w:pPr>
            <w:r>
              <w:t xml:space="preserve">Hourly</w:t>
            </w:r>
          </w:p>
        </w:tc>
        <w:tc>
          <w:p>
            <w:pPr>
              <w:pStyle w:val="Compact"/>
              <w:jc w:val="right"/>
            </w:pPr>
            <w:r>
              <w:t xml:space="preserve">0.02</w:t>
            </w:r>
          </w:p>
        </w:tc>
        <w:tc>
          <w:p>
            <w:pPr>
              <w:pStyle w:val="Compact"/>
              <w:jc w:val="right"/>
            </w:pPr>
            <w:r>
              <w:t xml:space="preserve">0.02</w:t>
            </w:r>
          </w:p>
        </w:tc>
        <w:tc>
          <w:p>
            <w:pPr>
              <w:pStyle w:val="Compact"/>
              <w:jc w:val="right"/>
            </w:pPr>
            <w:r>
              <w:t xml:space="preserve">40.10</w:t>
            </w:r>
          </w:p>
        </w:tc>
        <w:tc>
          <w:p>
            <w:pPr>
              <w:pStyle w:val="Compact"/>
              <w:jc w:val="left"/>
            </w:pPr>
            <w:r>
              <w:t xml:space="preserve">0.000</w:t>
            </w:r>
          </w:p>
        </w:tc>
        <w:tc>
          <w:p>
            <w:pPr>
              <w:pStyle w:val="Compact"/>
              <w:jc w:val="right"/>
            </w:pPr>
            <w:r>
              <w:t xml:space="preserve">0.52</w:t>
            </w:r>
          </w:p>
        </w:tc>
        <w:tc>
          <w:p>
            <w:pPr>
              <w:pStyle w:val="Compact"/>
              <w:jc w:val="right"/>
            </w:pPr>
            <w:r>
              <w:t xml:space="preserve">0.10</w:t>
            </w:r>
          </w:p>
        </w:tc>
        <w:tc>
          <w:p>
            <w:pPr>
              <w:pStyle w:val="Compact"/>
              <w:jc w:val="right"/>
            </w:pPr>
            <w:r>
              <w:t xml:space="preserve">90</w:t>
            </w:r>
          </w:p>
        </w:tc>
      </w:tr>
      <w:tr>
        <w:tc>
          <w:p>
            <w:pPr>
              <w:pStyle w:val="Compact"/>
              <w:jc w:val="left"/>
            </w:pPr>
            <w:r>
              <w:t xml:space="preserve">Three_PC</w:t>
            </w:r>
          </w:p>
        </w:tc>
        <w:tc>
          <w:p>
            <w:pPr>
              <w:pStyle w:val="Compact"/>
              <w:jc w:val="left"/>
            </w:pPr>
            <w:r>
              <w:t xml:space="preserve">Hourly</w:t>
            </w:r>
          </w:p>
        </w:tc>
        <w:tc>
          <w:p>
            <w:pPr>
              <w:pStyle w:val="Compact"/>
              <w:jc w:val="right"/>
            </w:pPr>
            <w:r>
              <w:t xml:space="preserve">0.01</w:t>
            </w:r>
          </w:p>
        </w:tc>
        <w:tc>
          <w:p>
            <w:pPr>
              <w:pStyle w:val="Compact"/>
              <w:jc w:val="right"/>
            </w:pPr>
            <w:r>
              <w:t xml:space="preserve">0.01</w:t>
            </w:r>
          </w:p>
        </w:tc>
        <w:tc>
          <w:p>
            <w:pPr>
              <w:pStyle w:val="Compact"/>
              <w:jc w:val="right"/>
            </w:pPr>
            <w:r>
              <w:t xml:space="preserve">40.38</w:t>
            </w:r>
          </w:p>
        </w:tc>
        <w:tc>
          <w:p>
            <w:pPr>
              <w:pStyle w:val="Compact"/>
              <w:jc w:val="left"/>
            </w:pPr>
            <w:r>
              <w:t xml:space="preserve">0.000</w:t>
            </w:r>
          </w:p>
        </w:tc>
        <w:tc>
          <w:p>
            <w:pPr>
              <w:pStyle w:val="Compact"/>
              <w:jc w:val="right"/>
            </w:pPr>
            <w:r>
              <w:t xml:space="preserve">0.53</w:t>
            </w:r>
          </w:p>
        </w:tc>
        <w:tc>
          <w:p>
            <w:pPr>
              <w:pStyle w:val="Compact"/>
              <w:jc w:val="right"/>
            </w:pPr>
            <w:r>
              <w:t xml:space="preserve">0.11</w:t>
            </w:r>
          </w:p>
        </w:tc>
        <w:tc>
          <w:p>
            <w:pPr>
              <w:pStyle w:val="Compact"/>
              <w:jc w:val="right"/>
            </w:pPr>
            <w:r>
              <w:t xml:space="preserve">90</w:t>
            </w:r>
          </w:p>
        </w:tc>
      </w:tr>
      <w:tr>
        <w:tc>
          <w:p>
            <w:pPr>
              <w:pStyle w:val="Compact"/>
              <w:jc w:val="left"/>
            </w:pPr>
            <w:r>
              <w:t xml:space="preserve">TOWT</w:t>
            </w:r>
          </w:p>
        </w:tc>
        <w:tc>
          <w:p>
            <w:pPr>
              <w:pStyle w:val="Compact"/>
              <w:jc w:val="left"/>
            </w:pPr>
            <w:r>
              <w:t xml:space="preserve">Daily</w:t>
            </w:r>
          </w:p>
        </w:tc>
        <w:tc>
          <w:p>
            <w:pPr>
              <w:pStyle w:val="Compact"/>
              <w:jc w:val="right"/>
            </w:pPr>
            <w:r>
              <w:t xml:space="preserve">0.90</w:t>
            </w:r>
          </w:p>
        </w:tc>
        <w:tc>
          <w:p>
            <w:pPr>
              <w:pStyle w:val="Compact"/>
              <w:jc w:val="right"/>
            </w:pPr>
            <w:r>
              <w:t xml:space="preserve">0.89</w:t>
            </w:r>
          </w:p>
        </w:tc>
        <w:tc>
          <w:p>
            <w:pPr>
              <w:pStyle w:val="Compact"/>
              <w:jc w:val="right"/>
            </w:pPr>
            <w:r>
              <w:t xml:space="preserve">8.17</w:t>
            </w:r>
          </w:p>
        </w:tc>
        <w:tc>
          <w:p>
            <w:pPr>
              <w:pStyle w:val="Compact"/>
              <w:jc w:val="left"/>
            </w:pPr>
            <w:r>
              <w:t xml:space="preserve">0.000</w:t>
            </w:r>
          </w:p>
        </w:tc>
        <w:tc>
          <w:p>
            <w:pPr>
              <w:pStyle w:val="Compact"/>
              <w:jc w:val="right"/>
            </w:pPr>
            <w:r>
              <w:t xml:space="preserve">0.10</w:t>
            </w:r>
          </w:p>
        </w:tc>
        <w:tc>
          <w:p>
            <w:pPr>
              <w:pStyle w:val="Compact"/>
              <w:jc w:val="right"/>
            </w:pPr>
            <w:r>
              <w:t xml:space="preserve">0.02</w:t>
            </w:r>
          </w:p>
        </w:tc>
        <w:tc>
          <w:p>
            <w:pPr>
              <w:pStyle w:val="Compact"/>
              <w:jc w:val="right"/>
            </w:pPr>
            <w:r>
              <w:t xml:space="preserve">90</w:t>
            </w:r>
          </w:p>
        </w:tc>
      </w:tr>
      <w:tr>
        <w:tc>
          <w:p>
            <w:pPr>
              <w:pStyle w:val="Compact"/>
              <w:jc w:val="left"/>
            </w:pPr>
            <w:r>
              <w:t xml:space="preserve">TOW</w:t>
            </w:r>
          </w:p>
        </w:tc>
        <w:tc>
          <w:p>
            <w:pPr>
              <w:pStyle w:val="Compact"/>
              <w:jc w:val="left"/>
            </w:pPr>
            <w:r>
              <w:t xml:space="preserve">Daily</w:t>
            </w:r>
          </w:p>
        </w:tc>
        <w:tc>
          <w:p>
            <w:pPr>
              <w:pStyle w:val="Compact"/>
              <w:jc w:val="right"/>
            </w:pPr>
            <w:r>
              <w:t xml:space="preserve">0.61</w:t>
            </w:r>
          </w:p>
        </w:tc>
        <w:tc>
          <w:p>
            <w:pPr>
              <w:pStyle w:val="Compact"/>
              <w:jc w:val="right"/>
            </w:pPr>
            <w:r>
              <w:t xml:space="preserve">0.60</w:t>
            </w:r>
          </w:p>
        </w:tc>
        <w:tc>
          <w:p>
            <w:pPr>
              <w:pStyle w:val="Compact"/>
              <w:jc w:val="right"/>
            </w:pPr>
            <w:r>
              <w:t xml:space="preserve">15.71</w:t>
            </w:r>
          </w:p>
        </w:tc>
        <w:tc>
          <w:p>
            <w:pPr>
              <w:pStyle w:val="Compact"/>
              <w:jc w:val="left"/>
            </w:pPr>
            <w:r>
              <w:t xml:space="preserve">0.000</w:t>
            </w:r>
          </w:p>
        </w:tc>
        <w:tc>
          <w:p>
            <w:pPr>
              <w:pStyle w:val="Compact"/>
              <w:jc w:val="right"/>
            </w:pPr>
            <w:r>
              <w:t xml:space="preserve">0.50</w:t>
            </w:r>
          </w:p>
        </w:tc>
        <w:tc>
          <w:p>
            <w:pPr>
              <w:pStyle w:val="Compact"/>
              <w:jc w:val="right"/>
            </w:pPr>
            <w:r>
              <w:t xml:space="preserve">0.10</w:t>
            </w:r>
          </w:p>
        </w:tc>
        <w:tc>
          <w:p>
            <w:pPr>
              <w:pStyle w:val="Compact"/>
              <w:jc w:val="right"/>
            </w:pPr>
            <w:r>
              <w:t xml:space="preserve">90</w:t>
            </w:r>
          </w:p>
        </w:tc>
      </w:tr>
      <w:tr>
        <w:tc>
          <w:p>
            <w:pPr>
              <w:pStyle w:val="Compact"/>
              <w:jc w:val="left"/>
            </w:pPr>
            <w:r>
              <w:t xml:space="preserve">Four_P</w:t>
            </w:r>
          </w:p>
        </w:tc>
        <w:tc>
          <w:p>
            <w:pPr>
              <w:pStyle w:val="Compact"/>
              <w:jc w:val="left"/>
            </w:pPr>
            <w:r>
              <w:t xml:space="preserve">Daily</w:t>
            </w:r>
          </w:p>
        </w:tc>
        <w:tc>
          <w:p>
            <w:pPr>
              <w:pStyle w:val="Compact"/>
              <w:jc w:val="right"/>
            </w:pPr>
            <w:r>
              <w:t xml:space="preserve">0.24</w:t>
            </w:r>
          </w:p>
        </w:tc>
        <w:tc>
          <w:p>
            <w:pPr>
              <w:pStyle w:val="Compact"/>
              <w:jc w:val="right"/>
            </w:pPr>
            <w:r>
              <w:t xml:space="preserve">0.23</w:t>
            </w:r>
          </w:p>
        </w:tc>
        <w:tc>
          <w:p>
            <w:pPr>
              <w:pStyle w:val="Compact"/>
              <w:jc w:val="right"/>
            </w:pPr>
            <w:r>
              <w:t xml:space="preserve">21.84</w:t>
            </w:r>
          </w:p>
        </w:tc>
        <w:tc>
          <w:p>
            <w:pPr>
              <w:pStyle w:val="Compact"/>
              <w:jc w:val="left"/>
            </w:pPr>
            <w:r>
              <w:t xml:space="preserve">0.000</w:t>
            </w:r>
          </w:p>
        </w:tc>
        <w:tc>
          <w:p>
            <w:pPr>
              <w:pStyle w:val="Compact"/>
              <w:jc w:val="right"/>
            </w:pPr>
            <w:r>
              <w:t xml:space="preserve">0.26</w:t>
            </w:r>
          </w:p>
        </w:tc>
        <w:tc>
          <w:p>
            <w:pPr>
              <w:pStyle w:val="Compact"/>
              <w:jc w:val="right"/>
            </w:pPr>
            <w:r>
              <w:t xml:space="preserve">0.05</w:t>
            </w:r>
          </w:p>
        </w:tc>
        <w:tc>
          <w:p>
            <w:pPr>
              <w:pStyle w:val="Compact"/>
              <w:jc w:val="right"/>
            </w:pPr>
            <w:r>
              <w:t xml:space="preserve">90</w:t>
            </w:r>
          </w:p>
        </w:tc>
      </w:tr>
      <w:tr>
        <w:tc>
          <w:p>
            <w:pPr>
              <w:pStyle w:val="Compact"/>
              <w:jc w:val="left"/>
            </w:pPr>
            <w:r>
              <w:t xml:space="preserve">Three_PH</w:t>
            </w:r>
          </w:p>
        </w:tc>
        <w:tc>
          <w:p>
            <w:pPr>
              <w:pStyle w:val="Compact"/>
              <w:jc w:val="left"/>
            </w:pPr>
            <w:r>
              <w:t xml:space="preserve">Daily</w:t>
            </w:r>
          </w:p>
        </w:tc>
        <w:tc>
          <w:p>
            <w:pPr>
              <w:pStyle w:val="Compact"/>
              <w:jc w:val="right"/>
            </w:pPr>
            <w:r>
              <w:t xml:space="preserve">0.23</w:t>
            </w:r>
          </w:p>
        </w:tc>
        <w:tc>
          <w:p>
            <w:pPr>
              <w:pStyle w:val="Compact"/>
              <w:jc w:val="right"/>
            </w:pPr>
            <w:r>
              <w:t xml:space="preserve">0.22</w:t>
            </w:r>
          </w:p>
        </w:tc>
        <w:tc>
          <w:p>
            <w:pPr>
              <w:pStyle w:val="Compact"/>
              <w:jc w:val="right"/>
            </w:pPr>
            <w:r>
              <w:t xml:space="preserve">21.92</w:t>
            </w:r>
          </w:p>
        </w:tc>
        <w:tc>
          <w:p>
            <w:pPr>
              <w:pStyle w:val="Compact"/>
              <w:jc w:val="left"/>
            </w:pPr>
            <w:r>
              <w:t xml:space="preserve">0.000</w:t>
            </w:r>
          </w:p>
        </w:tc>
        <w:tc>
          <w:p>
            <w:pPr>
              <w:pStyle w:val="Compact"/>
              <w:jc w:val="right"/>
            </w:pPr>
            <w:r>
              <w:t xml:space="preserve">0.27</w:t>
            </w:r>
          </w:p>
        </w:tc>
        <w:tc>
          <w:p>
            <w:pPr>
              <w:pStyle w:val="Compact"/>
              <w:jc w:val="right"/>
            </w:pPr>
            <w:r>
              <w:t xml:space="preserve">0.05</w:t>
            </w:r>
          </w:p>
        </w:tc>
        <w:tc>
          <w:p>
            <w:pPr>
              <w:pStyle w:val="Compact"/>
              <w:jc w:val="right"/>
            </w:pPr>
            <w:r>
              <w:t xml:space="preserve">90</w:t>
            </w:r>
          </w:p>
        </w:tc>
      </w:tr>
      <w:tr>
        <w:tc>
          <w:p>
            <w:pPr>
              <w:pStyle w:val="Compact"/>
              <w:jc w:val="left"/>
            </w:pPr>
            <w:r>
              <w:t xml:space="preserve">HDD_CDD</w:t>
            </w:r>
          </w:p>
        </w:tc>
        <w:tc>
          <w:p>
            <w:pPr>
              <w:pStyle w:val="Compact"/>
              <w:jc w:val="left"/>
            </w:pPr>
            <w:r>
              <w:t xml:space="preserve">Daily</w:t>
            </w:r>
          </w:p>
        </w:tc>
        <w:tc>
          <w:p>
            <w:pPr>
              <w:pStyle w:val="Compact"/>
              <w:jc w:val="right"/>
            </w:pPr>
            <w:r>
              <w:t xml:space="preserve">0.21</w:t>
            </w:r>
          </w:p>
        </w:tc>
        <w:tc>
          <w:p>
            <w:pPr>
              <w:pStyle w:val="Compact"/>
              <w:jc w:val="right"/>
            </w:pPr>
            <w:r>
              <w:t xml:space="preserve">0.20</w:t>
            </w:r>
          </w:p>
        </w:tc>
        <w:tc>
          <w:p>
            <w:pPr>
              <w:pStyle w:val="Compact"/>
              <w:jc w:val="right"/>
            </w:pPr>
            <w:r>
              <w:t xml:space="preserve">22.16</w:t>
            </w:r>
          </w:p>
        </w:tc>
        <w:tc>
          <w:p>
            <w:pPr>
              <w:pStyle w:val="Compact"/>
              <w:jc w:val="left"/>
            </w:pPr>
            <w:r>
              <w:t xml:space="preserve">0.000</w:t>
            </w:r>
          </w:p>
        </w:tc>
        <w:tc>
          <w:p>
            <w:pPr>
              <w:pStyle w:val="Compact"/>
              <w:jc w:val="right"/>
            </w:pPr>
            <w:r>
              <w:t xml:space="preserve">0.27</w:t>
            </w:r>
          </w:p>
        </w:tc>
        <w:tc>
          <w:p>
            <w:pPr>
              <w:pStyle w:val="Compact"/>
              <w:jc w:val="right"/>
            </w:pPr>
            <w:r>
              <w:t xml:space="preserve">0.05</w:t>
            </w:r>
          </w:p>
        </w:tc>
        <w:tc>
          <w:p>
            <w:pPr>
              <w:pStyle w:val="Compact"/>
              <w:jc w:val="right"/>
            </w:pPr>
            <w:r>
              <w:t xml:space="preserve">90</w:t>
            </w:r>
          </w:p>
        </w:tc>
      </w:tr>
      <w:tr>
        <w:tc>
          <w:p>
            <w:pPr>
              <w:pStyle w:val="Compact"/>
              <w:jc w:val="left"/>
            </w:pPr>
            <w:r>
              <w:t xml:space="preserve">HDD</w:t>
            </w:r>
          </w:p>
        </w:tc>
        <w:tc>
          <w:p>
            <w:pPr>
              <w:pStyle w:val="Compact"/>
              <w:jc w:val="left"/>
            </w:pPr>
            <w:r>
              <w:t xml:space="preserve">Daily</w:t>
            </w:r>
          </w:p>
        </w:tc>
        <w:tc>
          <w:p>
            <w:pPr>
              <w:pStyle w:val="Compact"/>
              <w:jc w:val="right"/>
            </w:pPr>
            <w:r>
              <w:t xml:space="preserve">0.19</w:t>
            </w:r>
          </w:p>
        </w:tc>
        <w:tc>
          <w:p>
            <w:pPr>
              <w:pStyle w:val="Compact"/>
              <w:jc w:val="right"/>
            </w:pPr>
            <w:r>
              <w:t xml:space="preserve">0.19</w:t>
            </w:r>
          </w:p>
        </w:tc>
        <w:tc>
          <w:p>
            <w:pPr>
              <w:pStyle w:val="Compact"/>
              <w:jc w:val="right"/>
            </w:pPr>
            <w:r>
              <w:t xml:space="preserve">22.44</w:t>
            </w:r>
          </w:p>
        </w:tc>
        <w:tc>
          <w:p>
            <w:pPr>
              <w:pStyle w:val="Compact"/>
              <w:jc w:val="left"/>
            </w:pPr>
            <w:r>
              <w:t xml:space="preserve">0.000</w:t>
            </w:r>
          </w:p>
        </w:tc>
        <w:tc>
          <w:p>
            <w:pPr>
              <w:pStyle w:val="Compact"/>
              <w:jc w:val="right"/>
            </w:pPr>
            <w:r>
              <w:t xml:space="preserve">0.27</w:t>
            </w:r>
          </w:p>
        </w:tc>
        <w:tc>
          <w:p>
            <w:pPr>
              <w:pStyle w:val="Compact"/>
              <w:jc w:val="right"/>
            </w:pPr>
            <w:r>
              <w:t xml:space="preserve">0.05</w:t>
            </w:r>
          </w:p>
        </w:tc>
        <w:tc>
          <w:p>
            <w:pPr>
              <w:pStyle w:val="Compact"/>
              <w:jc w:val="right"/>
            </w:pPr>
            <w:r>
              <w:t xml:space="preserve">90</w:t>
            </w:r>
          </w:p>
        </w:tc>
      </w:tr>
      <w:tr>
        <w:tc>
          <w:p>
            <w:pPr>
              <w:pStyle w:val="Compact"/>
              <w:jc w:val="left"/>
            </w:pPr>
            <w:r>
              <w:t xml:space="preserve">SLR</w:t>
            </w:r>
          </w:p>
        </w:tc>
        <w:tc>
          <w:p>
            <w:pPr>
              <w:pStyle w:val="Compact"/>
              <w:jc w:val="left"/>
            </w:pPr>
            <w:r>
              <w:t xml:space="preserve">Daily</w:t>
            </w:r>
          </w:p>
        </w:tc>
        <w:tc>
          <w:p>
            <w:pPr>
              <w:pStyle w:val="Compact"/>
              <w:jc w:val="right"/>
            </w:pPr>
            <w:r>
              <w:t xml:space="preserve">0.16</w:t>
            </w:r>
          </w:p>
        </w:tc>
        <w:tc>
          <w:p>
            <w:pPr>
              <w:pStyle w:val="Compact"/>
              <w:jc w:val="right"/>
            </w:pPr>
            <w:r>
              <w:t xml:space="preserve">0.16</w:t>
            </w:r>
          </w:p>
        </w:tc>
        <w:tc>
          <w:p>
            <w:pPr>
              <w:pStyle w:val="Compact"/>
              <w:jc w:val="right"/>
            </w:pPr>
            <w:r>
              <w:t xml:space="preserve">22.84</w:t>
            </w:r>
          </w:p>
        </w:tc>
        <w:tc>
          <w:p>
            <w:pPr>
              <w:pStyle w:val="Compact"/>
              <w:jc w:val="left"/>
            </w:pPr>
            <w:r>
              <w:t xml:space="preserve">0.000</w:t>
            </w:r>
          </w:p>
        </w:tc>
        <w:tc>
          <w:p>
            <w:pPr>
              <w:pStyle w:val="Compact"/>
              <w:jc w:val="right"/>
            </w:pPr>
            <w:r>
              <w:t xml:space="preserve">0.28</w:t>
            </w:r>
          </w:p>
        </w:tc>
        <w:tc>
          <w:p>
            <w:pPr>
              <w:pStyle w:val="Compact"/>
              <w:jc w:val="right"/>
            </w:pPr>
            <w:r>
              <w:t xml:space="preserve">0.06</w:t>
            </w:r>
          </w:p>
        </w:tc>
        <w:tc>
          <w:p>
            <w:pPr>
              <w:pStyle w:val="Compact"/>
              <w:jc w:val="right"/>
            </w:pPr>
            <w:r>
              <w:t xml:space="preserve">90</w:t>
            </w:r>
          </w:p>
        </w:tc>
      </w:tr>
      <w:tr>
        <w:tc>
          <w:p>
            <w:pPr>
              <w:pStyle w:val="Compact"/>
              <w:jc w:val="left"/>
            </w:pPr>
            <w:r>
              <w:t xml:space="preserve">Three_PC</w:t>
            </w:r>
          </w:p>
        </w:tc>
        <w:tc>
          <w:p>
            <w:pPr>
              <w:pStyle w:val="Compact"/>
              <w:jc w:val="left"/>
            </w:pPr>
            <w:r>
              <w:t xml:space="preserve">Daily</w:t>
            </w:r>
          </w:p>
        </w:tc>
        <w:tc>
          <w:p>
            <w:pPr>
              <w:pStyle w:val="Compact"/>
              <w:jc w:val="right"/>
            </w:pPr>
            <w:r>
              <w:t xml:space="preserve">0.07</w:t>
            </w:r>
          </w:p>
        </w:tc>
        <w:tc>
          <w:p>
            <w:pPr>
              <w:pStyle w:val="Compact"/>
              <w:jc w:val="right"/>
            </w:pPr>
            <w:r>
              <w:t xml:space="preserve">0.06</w:t>
            </w:r>
          </w:p>
        </w:tc>
        <w:tc>
          <w:p>
            <w:pPr>
              <w:pStyle w:val="Compact"/>
              <w:jc w:val="right"/>
            </w:pPr>
            <w:r>
              <w:t xml:space="preserve">24.17</w:t>
            </w:r>
          </w:p>
        </w:tc>
        <w:tc>
          <w:p>
            <w:pPr>
              <w:pStyle w:val="Compact"/>
              <w:jc w:val="left"/>
            </w:pPr>
            <w:r>
              <w:t xml:space="preserve">0.000</w:t>
            </w:r>
          </w:p>
        </w:tc>
        <w:tc>
          <w:p>
            <w:pPr>
              <w:pStyle w:val="Compact"/>
              <w:jc w:val="right"/>
            </w:pPr>
            <w:r>
              <w:t xml:space="preserve">0.29</w:t>
            </w:r>
          </w:p>
        </w:tc>
        <w:tc>
          <w:p>
            <w:pPr>
              <w:pStyle w:val="Compact"/>
              <w:jc w:val="right"/>
            </w:pPr>
            <w:r>
              <w:t xml:space="preserve">0.06</w:t>
            </w:r>
          </w:p>
        </w:tc>
        <w:tc>
          <w:p>
            <w:pPr>
              <w:pStyle w:val="Compact"/>
              <w:jc w:val="right"/>
            </w:pPr>
            <w:r>
              <w:t xml:space="preserve">90</w:t>
            </w:r>
          </w:p>
        </w:tc>
      </w:tr>
      <w:tr>
        <w:tc>
          <w:p>
            <w:pPr>
              <w:pStyle w:val="Compact"/>
              <w:jc w:val="left"/>
            </w:pPr>
            <w:r>
              <w:t xml:space="preserve">CDD</w:t>
            </w:r>
          </w:p>
        </w:tc>
        <w:tc>
          <w:p>
            <w:pPr>
              <w:pStyle w:val="Compact"/>
              <w:jc w:val="left"/>
            </w:pPr>
            <w:r>
              <w:t xml:space="preserve">Daily</w:t>
            </w:r>
          </w:p>
        </w:tc>
        <w:tc>
          <w:p>
            <w:pPr>
              <w:pStyle w:val="Compact"/>
              <w:jc w:val="right"/>
            </w:pPr>
            <w:r>
              <w:t xml:space="preserve">0.01</w:t>
            </w:r>
          </w:p>
        </w:tc>
        <w:tc>
          <w:p>
            <w:pPr>
              <w:pStyle w:val="Compact"/>
              <w:jc w:val="right"/>
            </w:pPr>
            <w:r>
              <w:t xml:space="preserve">0.00</w:t>
            </w:r>
          </w:p>
        </w:tc>
        <w:tc>
          <w:p>
            <w:pPr>
              <w:pStyle w:val="Compact"/>
              <w:jc w:val="right"/>
            </w:pPr>
            <w:r>
              <w:t xml:space="preserve">24.87</w:t>
            </w:r>
          </w:p>
        </w:tc>
        <w:tc>
          <w:p>
            <w:pPr>
              <w:pStyle w:val="Compact"/>
              <w:jc w:val="left"/>
            </w:pPr>
            <w:r>
              <w:t xml:space="preserve">0.000</w:t>
            </w:r>
          </w:p>
        </w:tc>
        <w:tc>
          <w:p>
            <w:pPr>
              <w:pStyle w:val="Compact"/>
              <w:jc w:val="right"/>
            </w:pPr>
            <w:r>
              <w:t xml:space="preserve">0.30</w:t>
            </w:r>
          </w:p>
        </w:tc>
        <w:tc>
          <w:p>
            <w:pPr>
              <w:pStyle w:val="Compact"/>
              <w:jc w:val="right"/>
            </w:pPr>
            <w:r>
              <w:t xml:space="preserve">0.06</w:t>
            </w:r>
          </w:p>
        </w:tc>
        <w:tc>
          <w:p>
            <w:pPr>
              <w:pStyle w:val="Compact"/>
              <w:jc w:val="right"/>
            </w:pPr>
            <w:r>
              <w:t xml:space="preserve">90</w:t>
            </w:r>
          </w:p>
        </w:tc>
      </w:tr>
      <w:tr>
        <w:tc>
          <w:p>
            <w:pPr>
              <w:pStyle w:val="Compact"/>
              <w:jc w:val="left"/>
            </w:pPr>
            <w:r>
              <w:t xml:space="preserve">HDD_CDD</w:t>
            </w:r>
          </w:p>
        </w:tc>
        <w:tc>
          <w:p>
            <w:pPr>
              <w:pStyle w:val="Compact"/>
              <w:jc w:val="left"/>
            </w:pPr>
            <w:r>
              <w:t xml:space="preserve">Monthly</w:t>
            </w:r>
          </w:p>
        </w:tc>
        <w:tc>
          <w:p>
            <w:pPr>
              <w:pStyle w:val="Compact"/>
              <w:jc w:val="right"/>
            </w:pPr>
            <w:r>
              <w:t xml:space="preserve">0.88</w:t>
            </w:r>
          </w:p>
        </w:tc>
        <w:tc>
          <w:p>
            <w:pPr>
              <w:pStyle w:val="Compact"/>
              <w:jc w:val="right"/>
            </w:pPr>
            <w:r>
              <w:t xml:space="preserve">0.84</w:t>
            </w:r>
          </w:p>
        </w:tc>
        <w:tc>
          <w:p>
            <w:pPr>
              <w:pStyle w:val="Compact"/>
              <w:jc w:val="right"/>
            </w:pPr>
            <w:r>
              <w:t xml:space="preserve">4.91</w:t>
            </w:r>
          </w:p>
        </w:tc>
        <w:tc>
          <w:p>
            <w:pPr>
              <w:pStyle w:val="Compact"/>
              <w:jc w:val="left"/>
            </w:pPr>
            <w:r>
              <w:t xml:space="preserve">0.000</w:t>
            </w:r>
          </w:p>
        </w:tc>
        <w:tc>
          <w:p>
            <w:pPr>
              <w:pStyle w:val="Compact"/>
              <w:jc w:val="right"/>
            </w:pPr>
            <w:r>
              <w:t xml:space="preserve">0.37</w:t>
            </w:r>
          </w:p>
        </w:tc>
        <w:tc>
          <w:p>
            <w:pPr>
              <w:pStyle w:val="Compact"/>
              <w:jc w:val="right"/>
            </w:pPr>
            <w:r>
              <w:t xml:space="preserve">0.07</w:t>
            </w:r>
          </w:p>
        </w:tc>
        <w:tc>
          <w:p>
            <w:pPr>
              <w:pStyle w:val="Compact"/>
              <w:jc w:val="right"/>
            </w:pPr>
            <w:r>
              <w:t xml:space="preserve">90</w:t>
            </w:r>
          </w:p>
        </w:tc>
      </w:tr>
      <w:tr>
        <w:tc>
          <w:p>
            <w:pPr>
              <w:pStyle w:val="Compact"/>
              <w:jc w:val="left"/>
            </w:pPr>
            <w:r>
              <w:t xml:space="preserve">Three_PH</w:t>
            </w:r>
          </w:p>
        </w:tc>
        <w:tc>
          <w:p>
            <w:pPr>
              <w:pStyle w:val="Compact"/>
              <w:jc w:val="left"/>
            </w:pPr>
            <w:r>
              <w:t xml:space="preserve">Monthly</w:t>
            </w:r>
          </w:p>
        </w:tc>
        <w:tc>
          <w:p>
            <w:pPr>
              <w:pStyle w:val="Compact"/>
              <w:jc w:val="right"/>
            </w:pPr>
            <w:r>
              <w:t xml:space="preserve">0.84</w:t>
            </w:r>
          </w:p>
        </w:tc>
        <w:tc>
          <w:p>
            <w:pPr>
              <w:pStyle w:val="Compact"/>
              <w:jc w:val="right"/>
            </w:pPr>
            <w:r>
              <w:t xml:space="preserve">0.78</w:t>
            </w:r>
          </w:p>
        </w:tc>
        <w:tc>
          <w:p>
            <w:pPr>
              <w:pStyle w:val="Compact"/>
              <w:jc w:val="right"/>
            </w:pPr>
            <w:r>
              <w:t xml:space="preserve">5.53</w:t>
            </w:r>
          </w:p>
        </w:tc>
        <w:tc>
          <w:p>
            <w:pPr>
              <w:pStyle w:val="Compact"/>
              <w:jc w:val="left"/>
            </w:pPr>
            <w:r>
              <w:t xml:space="preserve">0.000</w:t>
            </w:r>
          </w:p>
        </w:tc>
        <w:tc>
          <w:p>
            <w:pPr>
              <w:pStyle w:val="Compact"/>
              <w:jc w:val="right"/>
            </w:pPr>
            <w:r>
              <w:t xml:space="preserve">0.41</w:t>
            </w:r>
          </w:p>
        </w:tc>
        <w:tc>
          <w:p>
            <w:pPr>
              <w:pStyle w:val="Compact"/>
              <w:jc w:val="right"/>
            </w:pPr>
            <w:r>
              <w:t xml:space="preserve">0.08</w:t>
            </w:r>
          </w:p>
        </w:tc>
        <w:tc>
          <w:p>
            <w:pPr>
              <w:pStyle w:val="Compact"/>
              <w:jc w:val="right"/>
            </w:pPr>
            <w:r>
              <w:t xml:space="preserve">90</w:t>
            </w:r>
          </w:p>
        </w:tc>
      </w:tr>
      <w:tr>
        <w:tc>
          <w:p>
            <w:pPr>
              <w:pStyle w:val="Compact"/>
              <w:jc w:val="left"/>
            </w:pPr>
            <w:r>
              <w:t xml:space="preserve">Four_P</w:t>
            </w:r>
          </w:p>
        </w:tc>
        <w:tc>
          <w:p>
            <w:pPr>
              <w:pStyle w:val="Compact"/>
              <w:jc w:val="left"/>
            </w:pPr>
            <w:r>
              <w:t xml:space="preserve">Monthly</w:t>
            </w:r>
          </w:p>
        </w:tc>
        <w:tc>
          <w:p>
            <w:pPr>
              <w:pStyle w:val="Compact"/>
              <w:jc w:val="right"/>
            </w:pPr>
            <w:r>
              <w:t xml:space="preserve">0.85</w:t>
            </w:r>
          </w:p>
        </w:tc>
        <w:tc>
          <w:p>
            <w:pPr>
              <w:pStyle w:val="Compact"/>
              <w:jc w:val="right"/>
            </w:pPr>
            <w:r>
              <w:t xml:space="preserve">0.76</w:t>
            </w:r>
          </w:p>
        </w:tc>
        <w:tc>
          <w:p>
            <w:pPr>
              <w:pStyle w:val="Compact"/>
              <w:jc w:val="right"/>
            </w:pPr>
            <w:r>
              <w:t xml:space="preserve">5.83</w:t>
            </w:r>
          </w:p>
        </w:tc>
        <w:tc>
          <w:p>
            <w:pPr>
              <w:pStyle w:val="Compact"/>
              <w:jc w:val="left"/>
            </w:pPr>
            <w:r>
              <w:t xml:space="preserve">0.000</w:t>
            </w:r>
          </w:p>
        </w:tc>
        <w:tc>
          <w:p>
            <w:pPr>
              <w:pStyle w:val="Compact"/>
              <w:jc w:val="right"/>
            </w:pPr>
            <w:r>
              <w:t xml:space="preserve">0.44</w:t>
            </w:r>
          </w:p>
        </w:tc>
        <w:tc>
          <w:p>
            <w:pPr>
              <w:pStyle w:val="Compact"/>
              <w:jc w:val="right"/>
            </w:pPr>
            <w:r>
              <w:t xml:space="preserve">0.09</w:t>
            </w:r>
          </w:p>
        </w:tc>
        <w:tc>
          <w:p>
            <w:pPr>
              <w:pStyle w:val="Compact"/>
              <w:jc w:val="right"/>
            </w:pPr>
            <w:r>
              <w:t xml:space="preserve">90</w:t>
            </w:r>
          </w:p>
        </w:tc>
      </w:tr>
      <w:tr>
        <w:tc>
          <w:p>
            <w:pPr>
              <w:pStyle w:val="Compact"/>
              <w:jc w:val="left"/>
            </w:pPr>
            <w:r>
              <w:t xml:space="preserve">HDD</w:t>
            </w:r>
          </w:p>
        </w:tc>
        <w:tc>
          <w:p>
            <w:pPr>
              <w:pStyle w:val="Compact"/>
              <w:jc w:val="left"/>
            </w:pPr>
            <w:r>
              <w:t xml:space="preserve">Monthly</w:t>
            </w:r>
          </w:p>
        </w:tc>
        <w:tc>
          <w:p>
            <w:pPr>
              <w:pStyle w:val="Compact"/>
              <w:jc w:val="right"/>
            </w:pPr>
            <w:r>
              <w:t xml:space="preserve">0.78</w:t>
            </w:r>
          </w:p>
        </w:tc>
        <w:tc>
          <w:p>
            <w:pPr>
              <w:pStyle w:val="Compact"/>
              <w:jc w:val="right"/>
            </w:pPr>
            <w:r>
              <w:t xml:space="preserve">0.73</w:t>
            </w:r>
          </w:p>
        </w:tc>
        <w:tc>
          <w:p>
            <w:pPr>
              <w:pStyle w:val="Compact"/>
              <w:jc w:val="right"/>
            </w:pPr>
            <w:r>
              <w:t xml:space="preserve">6.23</w:t>
            </w:r>
          </w:p>
        </w:tc>
        <w:tc>
          <w:p>
            <w:pPr>
              <w:pStyle w:val="Compact"/>
              <w:jc w:val="left"/>
            </w:pPr>
            <w:r>
              <w:t xml:space="preserve">0.000</w:t>
            </w:r>
          </w:p>
        </w:tc>
        <w:tc>
          <w:p>
            <w:pPr>
              <w:pStyle w:val="Compact"/>
              <w:jc w:val="right"/>
            </w:pPr>
            <w:r>
              <w:t xml:space="preserve">0.46</w:t>
            </w:r>
          </w:p>
        </w:tc>
        <w:tc>
          <w:p>
            <w:pPr>
              <w:pStyle w:val="Compact"/>
              <w:jc w:val="right"/>
            </w:pPr>
            <w:r>
              <w:t xml:space="preserve">0.09</w:t>
            </w:r>
          </w:p>
        </w:tc>
        <w:tc>
          <w:p>
            <w:pPr>
              <w:pStyle w:val="Compact"/>
              <w:jc w:val="right"/>
            </w:pPr>
            <w:r>
              <w:t xml:space="preserve">90</w:t>
            </w:r>
          </w:p>
        </w:tc>
      </w:tr>
      <w:tr>
        <w:tc>
          <w:p>
            <w:pPr>
              <w:pStyle w:val="Compact"/>
              <w:jc w:val="left"/>
            </w:pPr>
            <w:r>
              <w:t xml:space="preserve">SLR</w:t>
            </w:r>
          </w:p>
        </w:tc>
        <w:tc>
          <w:p>
            <w:pPr>
              <w:pStyle w:val="Compact"/>
              <w:jc w:val="left"/>
            </w:pPr>
            <w:r>
              <w:t xml:space="preserve">Monthly</w:t>
            </w:r>
          </w:p>
        </w:tc>
        <w:tc>
          <w:p>
            <w:pPr>
              <w:pStyle w:val="Compact"/>
              <w:jc w:val="right"/>
            </w:pPr>
            <w:r>
              <w:t xml:space="preserve">0.72</w:t>
            </w:r>
          </w:p>
        </w:tc>
        <w:tc>
          <w:p>
            <w:pPr>
              <w:pStyle w:val="Compact"/>
              <w:jc w:val="right"/>
            </w:pPr>
            <w:r>
              <w:t xml:space="preserve">0.66</w:t>
            </w:r>
          </w:p>
        </w:tc>
        <w:tc>
          <w:p>
            <w:pPr>
              <w:pStyle w:val="Compact"/>
              <w:jc w:val="right"/>
            </w:pPr>
            <w:r>
              <w:t xml:space="preserve">7.00</w:t>
            </w:r>
          </w:p>
        </w:tc>
        <w:tc>
          <w:p>
            <w:pPr>
              <w:pStyle w:val="Compact"/>
              <w:jc w:val="left"/>
            </w:pPr>
            <w:r>
              <w:t xml:space="preserve">0.000</w:t>
            </w:r>
          </w:p>
        </w:tc>
        <w:tc>
          <w:p>
            <w:pPr>
              <w:pStyle w:val="Compact"/>
              <w:jc w:val="right"/>
            </w:pPr>
            <w:r>
              <w:t xml:space="preserve">0.52</w:t>
            </w:r>
          </w:p>
        </w:tc>
        <w:tc>
          <w:p>
            <w:pPr>
              <w:pStyle w:val="Compact"/>
              <w:jc w:val="right"/>
            </w:pPr>
            <w:r>
              <w:t xml:space="preserve">0.10</w:t>
            </w:r>
          </w:p>
        </w:tc>
        <w:tc>
          <w:p>
            <w:pPr>
              <w:pStyle w:val="Compact"/>
              <w:jc w:val="right"/>
            </w:pPr>
            <w:r>
              <w:t xml:space="preserve">90</w:t>
            </w:r>
          </w:p>
        </w:tc>
      </w:tr>
      <w:tr>
        <w:tc>
          <w:p>
            <w:pPr>
              <w:pStyle w:val="Compact"/>
              <w:jc w:val="left"/>
            </w:pPr>
            <w:r>
              <w:t xml:space="preserve">CDD</w:t>
            </w:r>
          </w:p>
        </w:tc>
        <w:tc>
          <w:p>
            <w:pPr>
              <w:pStyle w:val="Compact"/>
              <w:jc w:val="left"/>
            </w:pPr>
            <w:r>
              <w:t xml:space="preserve">Monthly</w:t>
            </w:r>
          </w:p>
        </w:tc>
        <w:tc>
          <w:p>
            <w:pPr>
              <w:pStyle w:val="Compact"/>
              <w:jc w:val="right"/>
            </w:pPr>
            <w:r>
              <w:t xml:space="preserve">0.35</w:t>
            </w:r>
          </w:p>
        </w:tc>
        <w:tc>
          <w:p>
            <w:pPr>
              <w:pStyle w:val="Compact"/>
              <w:jc w:val="right"/>
            </w:pPr>
            <w:r>
              <w:t xml:space="preserve">0.21</w:t>
            </w:r>
          </w:p>
        </w:tc>
        <w:tc>
          <w:p>
            <w:pPr>
              <w:pStyle w:val="Compact"/>
              <w:jc w:val="right"/>
            </w:pPr>
            <w:r>
              <w:t xml:space="preserve">10.72</w:t>
            </w:r>
          </w:p>
        </w:tc>
        <w:tc>
          <w:p>
            <w:pPr>
              <w:pStyle w:val="Compact"/>
              <w:jc w:val="left"/>
            </w:pPr>
            <w:r>
              <w:t xml:space="preserve">0.000</w:t>
            </w:r>
          </w:p>
        </w:tc>
        <w:tc>
          <w:p>
            <w:pPr>
              <w:pStyle w:val="Compact"/>
              <w:jc w:val="right"/>
            </w:pPr>
            <w:r>
              <w:t xml:space="preserve">0.79</w:t>
            </w:r>
          </w:p>
        </w:tc>
        <w:tc>
          <w:p>
            <w:pPr>
              <w:pStyle w:val="Compact"/>
              <w:jc w:val="right"/>
            </w:pPr>
            <w:r>
              <w:t xml:space="preserve">0.16</w:t>
            </w:r>
          </w:p>
        </w:tc>
        <w:tc>
          <w:p>
            <w:pPr>
              <w:pStyle w:val="Compact"/>
              <w:jc w:val="right"/>
            </w:pPr>
            <w:r>
              <w:t xml:space="preserve">90</w:t>
            </w:r>
          </w:p>
        </w:tc>
      </w:tr>
    </w:tbl>
    <w:p>
      <w:pPr>
        <w:pStyle w:val="BodyText"/>
      </w:pPr>
      <w:r>
        <w:t xml:space="preserve">The model chosen for this project is TOWT.</w:t>
      </w:r>
    </w:p>
    <w:p>
      <w:pPr>
        <w:pStyle w:val="BodyText"/>
      </w:pPr>
      <w:r>
        <w:drawing>
          <wp:inline>
            <wp:extent cx="5334000" cy="3333750"/>
            <wp:effectExtent b="0" l="0" r="0" t="0"/>
            <wp:docPr descr="" title="" id="1" name="Picture"/>
            <a:graphic>
              <a:graphicData uri="http://schemas.openxmlformats.org/drawingml/2006/picture">
                <pic:pic>
                  <pic:nvPicPr>
                    <pic:cNvPr descr="C:\Users\bhoffman\Desktop\Dexter-Horton\Analysis\2020%20Run\Predictability%20Analysis\Results\Predictability_files/figure-docx/unnamed-chunk-8-1.png" id="0"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r>
        <w:drawing>
          <wp:inline>
            <wp:extent cx="5334000" cy="3333750"/>
            <wp:effectExtent b="0" l="0" r="0" t="0"/>
            <wp:docPr descr="" title="" id="1" name="Picture"/>
            <a:graphic>
              <a:graphicData uri="http://schemas.openxmlformats.org/drawingml/2006/picture">
                <pic:pic>
                  <pic:nvPicPr>
                    <pic:cNvPr descr="C:\Users\bhoffman\Desktop\Dexter-Horton\Analysis\2020%20Run\Predictability%20Analysis\Results\Predictability_files/figure-docx/unnamed-chunk-8-2.png" id="0" name="Picture"/>
                    <pic:cNvPicPr>
                      <a:picLocks noChangeArrowheads="1" noChangeAspect="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26" w:name="assessment-of-nres"/>
      <w:r>
        <w:t xml:space="preserve">Assessment of NREs</w:t>
      </w:r>
      <w:bookmarkEnd w:id="26"/>
    </w:p>
    <w:p>
      <w:pPr>
        <w:pStyle w:val="FirstParagraph"/>
      </w:pPr>
      <w:r>
        <w:rPr>
          <w:i/>
          <w:b/>
        </w:rPr>
        <w:t xml:space="preserve">Add findings here</w:t>
      </w:r>
    </w:p>
    <w:p>
      <w:r>
        <w:br w:type="page"/>
      </w:r>
    </w:p>
    <w:p>
      <w:pPr>
        <w:pStyle w:val="Heading2"/>
      </w:pPr>
      <w:bookmarkStart w:id="27" w:name="goodness-of-fit-metrics"/>
      <w:r>
        <w:t xml:space="preserve">Goodness-of-Fit Metrics</w:t>
      </w:r>
      <w:bookmarkEnd w:id="27"/>
    </w:p>
    <w:p>
      <w:pPr>
        <w:pStyle w:val="FirstParagraph"/>
      </w:pPr>
      <w:r>
        <w:rPr>
          <w:b/>
        </w:rPr>
        <w:t xml:space="preserve">Coefficient of Variation of the root mean squared error, CV(RMSE)</w:t>
      </w:r>
    </w:p>
    <w:p>
      <w:pPr>
        <w:pStyle w:val="BodyText"/>
      </w:pPr>
      <m:oMathPara>
        <m:oMathParaPr>
          <m:jc m:val="center"/>
        </m:oMathParaPr>
        <m:oMath>
          <m:r>
            <m:t>C</m:t>
          </m:r>
          <m:r>
            <m:t>V</m:t>
          </m:r>
          <m:r>
            <m:t>(</m:t>
          </m:r>
          <m:r>
            <m:t>R</m:t>
          </m:r>
          <m:r>
            <m:t>M</m:t>
          </m:r>
          <m:r>
            <m:t>S</m:t>
          </m:r>
          <m:r>
            <m:t>E</m:t>
          </m:r>
          <m:r>
            <m:t>)</m:t>
          </m:r>
          <m:r>
            <m:t>=</m:t>
          </m:r>
          <m:f>
            <m:fPr>
              <m:type m:val="bar"/>
            </m:fPr>
            <m:num>
              <m:r>
                <m:t>(</m:t>
              </m:r>
              <m:f>
                <m:fPr>
                  <m:type m:val="bar"/>
                </m:fPr>
                <m:num>
                  <m:nary>
                    <m:naryPr>
                      <m:chr m:val="∑"/>
                      <m:limLoc m:val="undOvr"/>
                      <m:subHide m:val="0"/>
                      <m:supHide m:val="0"/>
                    </m:naryPr>
                    <m:sub>
                      <m:r>
                        <m:t>i</m:t>
                      </m:r>
                      <m:r>
                        <m:t>=</m:t>
                      </m:r>
                      <m:r>
                        <m:t>1</m:t>
                      </m:r>
                    </m:sub>
                    <m:sup>
                      <m:r>
                        <m:t>n</m:t>
                      </m:r>
                    </m:sup>
                    <m:e>
                      <m:r>
                        <m:t>(</m:t>
                      </m:r>
                      <m:sSub>
                        <m:e>
                          <m:r>
                            <m:t>E</m:t>
                          </m:r>
                        </m:e>
                        <m:sub>
                          <m:r>
                            <m:t>i</m:t>
                          </m:r>
                        </m:sub>
                      </m:sSub>
                      <m:r>
                        <m:t>−</m:t>
                      </m:r>
                      <m:acc>
                        <m:accPr>
                          <m:chr m:val="̂"/>
                        </m:accPr>
                        <m:e>
                          <m:sSub>
                            <m:e>
                              <m:r>
                                <m:t>E</m:t>
                              </m:r>
                            </m:e>
                            <m:sub>
                              <m:r>
                                <m:t>i</m:t>
                              </m:r>
                            </m:sub>
                          </m:sSub>
                        </m:e>
                      </m:acc>
                    </m:e>
                  </m:nary>
                  <m:sSup>
                    <m:e>
                      <m:r>
                        <m:t>)</m:t>
                      </m:r>
                    </m:e>
                    <m:sup>
                      <m:r>
                        <m:t>2</m:t>
                      </m:r>
                    </m:sup>
                  </m:sSup>
                </m:num>
                <m:den>
                  <m:r>
                    <m:t>n</m:t>
                  </m:r>
                  <m:r>
                    <m:t>−</m:t>
                  </m:r>
                  <m:r>
                    <m:t>p</m:t>
                  </m:r>
                </m:den>
              </m:f>
              <m:sSup>
                <m:e>
                  <m:r>
                    <m:t>)</m:t>
                  </m:r>
                </m:e>
                <m:sup>
                  <m:r>
                    <m:t>1</m:t>
                  </m:r>
                  <m:r>
                    <m:t>/</m:t>
                  </m:r>
                  <m:r>
                    <m:t>2</m:t>
                  </m:r>
                </m:sup>
              </m:sSup>
            </m:num>
            <m:den>
              <m:bar>
                <m:barPr>
                  <m:pos m:val="top"/>
                </m:barPr>
                <m:e>
                  <m:r>
                    <m:t>E</m:t>
                  </m:r>
                </m:e>
              </m:bar>
            </m:den>
          </m:f>
        </m:oMath>
      </m:oMathPara>
    </w:p>
    <w:p>
      <w:pPr>
        <w:pStyle w:val="FirstParagraph"/>
      </w:pPr>
      <w:r>
        <w:t xml:space="preserve">CV(RMSE) is a measure of random error between a model’s predictions and the actual data. Generally, we want to minimize this error as much as possible.</w:t>
      </w:r>
    </w:p>
    <w:p>
      <w:pPr>
        <w:pStyle w:val="BodyText"/>
      </w:pPr>
      <w:r>
        <w:rPr>
          <w:b/>
        </w:rPr>
        <w:t xml:space="preserve">Net Mean Bias Error (NMBE)</w:t>
      </w:r>
    </w:p>
    <w:p>
      <w:pPr>
        <w:pStyle w:val="BodyText"/>
      </w:pPr>
      <m:oMathPara>
        <m:oMathParaPr>
          <m:jc m:val="center"/>
        </m:oMathParaPr>
        <m:oMath>
          <m:r>
            <m:t>N</m:t>
          </m:r>
          <m:r>
            <m:t>M</m:t>
          </m:r>
          <m:r>
            <m:t>B</m:t>
          </m:r>
          <m:r>
            <m:t>E</m:t>
          </m:r>
          <m:r>
            <m:t>=</m:t>
          </m:r>
          <m:f>
            <m:fPr>
              <m:type m:val="bar"/>
            </m:fPr>
            <m:num>
              <m:nary>
                <m:naryPr>
                  <m:chr m:val="∑"/>
                  <m:limLoc m:val="undOvr"/>
                  <m:subHide m:val="0"/>
                  <m:supHide m:val="0"/>
                </m:naryPr>
                <m:sub>
                  <m:r>
                    <m:t>i</m:t>
                  </m:r>
                  <m:r>
                    <m:t>=</m:t>
                  </m:r>
                  <m:r>
                    <m:t>1</m:t>
                  </m:r>
                </m:sub>
                <m:sup>
                  <m:r>
                    <m:t>n</m:t>
                  </m:r>
                </m:sup>
                <m:e>
                  <m:r>
                    <m:t>(</m:t>
                  </m:r>
                  <m:sSub>
                    <m:e>
                      <m:r>
                        <m:t>E</m:t>
                      </m:r>
                    </m:e>
                    <m:sub>
                      <m:r>
                        <m:t>i</m:t>
                      </m:r>
                    </m:sub>
                  </m:sSub>
                  <m:r>
                    <m:t>−</m:t>
                  </m:r>
                  <m:acc>
                    <m:accPr>
                      <m:chr m:val="̂"/>
                    </m:accPr>
                    <m:e>
                      <m:sSub>
                        <m:e>
                          <m:r>
                            <m:t>E</m:t>
                          </m:r>
                        </m:e>
                        <m:sub>
                          <m:r>
                            <m:t>i</m:t>
                          </m:r>
                        </m:sub>
                      </m:sSub>
                    </m:e>
                  </m:acc>
                </m:e>
              </m:nary>
              <m:r>
                <m:t>)</m:t>
              </m:r>
            </m:num>
            <m:den>
              <m:r>
                <m:t>(</m:t>
              </m:r>
              <m:r>
                <m:t>n</m:t>
              </m:r>
              <m:r>
                <m:t>−</m:t>
              </m:r>
              <m:r>
                <m:t>p</m:t>
              </m:r>
              <m:r>
                <m:t>)</m:t>
              </m:r>
              <m:r>
                <m:t>⋅</m:t>
              </m:r>
              <m:bar>
                <m:barPr>
                  <m:pos m:val="top"/>
                </m:barPr>
                <m:e>
                  <m:r>
                    <m:t>E</m:t>
                  </m:r>
                </m:e>
              </m:bar>
            </m:den>
          </m:f>
        </m:oMath>
      </m:oMathPara>
    </w:p>
    <w:p>
      <w:pPr>
        <w:pStyle w:val="FirstParagraph"/>
      </w:pPr>
      <w:r>
        <w:t xml:space="preserve">NMBE is a measure of the difference between the model’s predictions of training period total energy use and the actual energy use. This error should be very low.</w:t>
      </w:r>
    </w:p>
    <w:p>
      <w:pPr>
        <w:pStyle w:val="BodyText"/>
      </w:pPr>
      <w:r>
        <w:rPr>
          <w:b/>
        </w:rPr>
        <w:t xml:space="preserve">Coefficient of Determination,</w:t>
      </w:r>
      <w:r>
        <w:rPr>
          <w:b/>
        </w:rPr>
        <w:t xml:space="preserve"> </w:t>
      </w:r>
      <m:oMath>
        <m:sSup>
          <m:e>
            <m:r>
              <m:t>R</m:t>
            </m:r>
          </m:e>
          <m:sup>
            <m:r>
              <m:t>2</m:t>
            </m:r>
          </m:sup>
        </m:sSup>
      </m:oMath>
    </w:p>
    <w:p>
      <w:pPr>
        <w:pStyle w:val="BodyText"/>
      </w:pPr>
      <m:oMathPara>
        <m:oMathParaPr>
          <m:jc m:val="center"/>
        </m:oMathParaPr>
        <m:oMath>
          <m:sSup>
            <m:e>
              <m:r>
                <m:t>R</m:t>
              </m:r>
            </m:e>
            <m:sup>
              <m:r>
                <m:t>2</m:t>
              </m:r>
            </m:sup>
          </m:sSup>
          <m:r>
            <m:t>=</m:t>
          </m:r>
          <m:r>
            <m:t>1</m:t>
          </m:r>
          <m:r>
            <m:t>−</m:t>
          </m:r>
          <m:f>
            <m:fPr>
              <m:type m:val="bar"/>
            </m:fPr>
            <m:num>
              <m:nary>
                <m:naryPr>
                  <m:chr m:val="∑"/>
                  <m:limLoc m:val="undOvr"/>
                  <m:subHide m:val="0"/>
                  <m:supHide m:val="0"/>
                </m:naryPr>
                <m:sub>
                  <m:r>
                    <m:t>i</m:t>
                  </m:r>
                  <m:r>
                    <m:t>=</m:t>
                  </m:r>
                  <m:r>
                    <m:t>1</m:t>
                  </m:r>
                </m:sub>
                <m:sup>
                  <m:r>
                    <m:t>n</m:t>
                  </m:r>
                </m:sup>
                <m:e>
                  <m:r>
                    <m:t>(</m:t>
                  </m:r>
                  <m:sSub>
                    <m:e>
                      <m:r>
                        <m:t>E</m:t>
                      </m:r>
                    </m:e>
                    <m:sub>
                      <m:r>
                        <m:t>i</m:t>
                      </m:r>
                    </m:sub>
                  </m:sSub>
                  <m:r>
                    <m:t>−</m:t>
                  </m:r>
                  <m:acc>
                    <m:accPr>
                      <m:chr m:val="̂"/>
                    </m:accPr>
                    <m:e>
                      <m:sSub>
                        <m:e>
                          <m:r>
                            <m:t>E</m:t>
                          </m:r>
                        </m:e>
                        <m:sub>
                          <m:r>
                            <m:t>i</m:t>
                          </m:r>
                        </m:sub>
                      </m:sSub>
                    </m:e>
                  </m:acc>
                </m:e>
              </m:nary>
              <m:sSup>
                <m:e>
                  <m:r>
                    <m:t>)</m:t>
                  </m:r>
                </m:e>
                <m:sup>
                  <m:r>
                    <m:t>2</m:t>
                  </m:r>
                </m:sup>
              </m:sSup>
            </m:num>
            <m:den>
              <m:nary>
                <m:naryPr>
                  <m:chr m:val="∑"/>
                  <m:limLoc m:val="undOvr"/>
                  <m:subHide m:val="0"/>
                  <m:supHide m:val="0"/>
                </m:naryPr>
                <m:sub>
                  <m:r>
                    <m:t>i</m:t>
                  </m:r>
                  <m:r>
                    <m:t>=</m:t>
                  </m:r>
                  <m:r>
                    <m:t>1</m:t>
                  </m:r>
                </m:sub>
                <m:sup>
                  <m:r>
                    <m:t>n</m:t>
                  </m:r>
                </m:sup>
                <m:e>
                  <m:r>
                    <m:t>(</m:t>
                  </m:r>
                  <m:sSub>
                    <m:e>
                      <m:r>
                        <m:t>E</m:t>
                      </m:r>
                    </m:e>
                    <m:sub>
                      <m:r>
                        <m:t>i</m:t>
                      </m:r>
                    </m:sub>
                  </m:sSub>
                  <m:r>
                    <m:t>−</m:t>
                  </m:r>
                  <m:bar>
                    <m:barPr>
                      <m:pos m:val="top"/>
                    </m:barPr>
                    <m:e>
                      <m:sSub>
                        <m:e>
                          <m:r>
                            <m:t>E</m:t>
                          </m:r>
                        </m:e>
                        <m:sub>
                          <m:r>
                            <m:t>i</m:t>
                          </m:r>
                        </m:sub>
                      </m:sSub>
                    </m:e>
                  </m:bar>
                </m:e>
              </m:nary>
              <m:sSup>
                <m:e>
                  <m:r>
                    <m:t>)</m:t>
                  </m:r>
                </m:e>
                <m:sup>
                  <m:r>
                    <m:t>2</m:t>
                  </m:r>
                </m:sup>
              </m:sSup>
            </m:den>
          </m:f>
        </m:oMath>
      </m:oMathPara>
    </w:p>
    <w:p>
      <w:pPr>
        <w:pStyle w:val="FirstParagraph"/>
      </w:pPr>
      <w:r>
        <w:t xml:space="preserve">The coefficient of determination describes how well the independent variables explain the variations in the dependent (energy) variable. Higher R2 means the independent variables have more explanatory power. This is an informative metric only, not a criterion, because while the energy use sometimes may not have high variation, an independent variable may adequately</w:t>
      </w:r>
      <w:r>
        <w:t xml:space="preserve"> </w:t>
      </w:r>
      <w:r>
        <w:t xml:space="preserve">‘</w:t>
      </w:r>
      <w:r>
        <w:t xml:space="preserve">explain</w:t>
      </w:r>
      <w:r>
        <w:t xml:space="preserve">’</w:t>
      </w:r>
      <w:r>
        <w:t xml:space="preserve"> </w:t>
      </w:r>
      <w:r>
        <w:t xml:space="preserve">the existing variation in the energy use, despite a low R2.</w:t>
      </w:r>
    </w:p>
    <w:p>
      <w:pPr>
        <w:pStyle w:val="BodyText"/>
      </w:pPr>
      <w:r>
        <w:rPr>
          <w:b/>
        </w:rPr>
        <w:t xml:space="preserve">Fractional Savings Uncertainty</w:t>
      </w:r>
    </w:p>
    <w:p>
      <w:pPr>
        <w:pStyle w:val="BodyText"/>
      </w:pPr>
      <w:r>
        <w:t xml:space="preserve">ASHRAE Guideline 14-2014 provided the following</w:t>
      </w:r>
      <w:r>
        <w:t xml:space="preserve"> </w:t>
      </w:r>
      <w:r>
        <w:t xml:space="preserve">‘</w:t>
      </w:r>
      <w:r>
        <w:t xml:space="preserve">fractional savings uncertainty</w:t>
      </w:r>
      <w:r>
        <w:t xml:space="preserve">’</w:t>
      </w:r>
      <w:r>
        <w:t xml:space="preserve"> </w:t>
      </w:r>
      <w:r>
        <w:t xml:space="preserve">formulas as a means to estimate the uncertainty of the savings estimated with this modeling approach. The formulas also enable the estimation of how well we will know savings based only on the baseline model’s goodness of fit, the number of points in the baseline and post-installation periods, the amount of savings, and the level of confidence at which we estimate the uncertainty. For daily or hourly models, they include a correction for autocorrelation. Using these formulas, we can estimate what the savings uncertainty, at 90% confidence, would be for a project that yields 10% savings, with a year of post-installation period monitoring, using a baseline model with its MSE or MSE’ value and a year of baseline data. We want the uncertainty to be low, but the minimum level of uncertainty cannot be greater than +/- 50% at the 90% confidence level. Note the percentage refers to the amount of savings, not to the baseline energy use.</w:t>
      </w:r>
    </w:p>
    <w:p>
      <w:pPr>
        <w:pStyle w:val="BodyText"/>
      </w:pPr>
      <w:r>
        <w:t xml:space="preserve">Additional research by LBNL showed that ASHRAE’s formula underestimated uncertainty when used on hourly models, due to the high degree of autocorrelation in the data. This is why uncertainty in hourly models is not reported in the predictability report.</w:t>
      </w:r>
    </w:p>
    <w:p>
      <w:pPr>
        <w:pStyle w:val="BodyText"/>
      </w:pPr>
      <w:r>
        <w:t xml:space="preserve">Savings Uncertainty, models with autocorrelation (hourly or daily):</w:t>
      </w:r>
    </w:p>
    <w:p>
      <w:pPr>
        <w:pStyle w:val="BodyText"/>
      </w:pPr>
      <m:oMathPara>
        <m:oMathParaPr>
          <m:jc m:val="center"/>
        </m:oMathParaPr>
        <m:oMath>
          <m:r>
            <m:t>U</m:t>
          </m:r>
          <m:r>
            <m:t>=</m:t>
          </m:r>
          <m:f>
            <m:fPr>
              <m:type m:val="bar"/>
            </m:fPr>
            <m:num>
              <m:r>
                <m:t>Δ</m:t>
              </m:r>
              <m:sSub>
                <m:e>
                  <m:r>
                    <m:t>E</m:t>
                  </m:r>
                </m:e>
                <m:sub>
                  <m:r>
                    <m:t>s</m:t>
                  </m:r>
                  <m:r>
                    <m:t>a</m:t>
                  </m:r>
                  <m:r>
                    <m:t>v</m:t>
                  </m:r>
                  <m:r>
                    <m:t>e</m:t>
                  </m:r>
                  <m:r>
                    <m:t>,</m:t>
                  </m:r>
                  <m:r>
                    <m:t>m</m:t>
                  </m:r>
                </m:sub>
              </m:sSub>
            </m:num>
            <m:den>
              <m:sSub>
                <m:e>
                  <m:r>
                    <m:t>E</m:t>
                  </m:r>
                </m:e>
                <m:sub>
                  <m:r>
                    <m:t>s</m:t>
                  </m:r>
                  <m:r>
                    <m:t>a</m:t>
                  </m:r>
                  <m:r>
                    <m:t>v</m:t>
                  </m:r>
                  <m:r>
                    <m:t>e</m:t>
                  </m:r>
                  <m:r>
                    <m:t>,</m:t>
                  </m:r>
                  <m:r>
                    <m:t>m</m:t>
                  </m:r>
                </m:sub>
              </m:sSub>
            </m:den>
          </m:f>
          <m:r>
            <m:t>=</m:t>
          </m:r>
          <m:f>
            <m:fPr>
              <m:type m:val="bar"/>
            </m:fPr>
            <m:num>
              <m:r>
                <m:t>α</m:t>
              </m:r>
              <m:r>
                <m:t>*</m:t>
              </m:r>
              <m:sSub>
                <m:e>
                  <m:r>
                    <m:t>t</m:t>
                  </m:r>
                </m:e>
                <m:sub>
                  <m:r>
                    <m:t>(</m:t>
                  </m:r>
                  <m:r>
                    <m:t>1</m:t>
                  </m:r>
                  <m:r>
                    <m:t>−</m:t>
                  </m:r>
                  <m:r>
                    <m:t>α</m:t>
                  </m:r>
                  <m:r>
                    <m:t>)</m:t>
                  </m:r>
                  <m:r>
                    <m:t>/</m:t>
                  </m:r>
                  <m:r>
                    <m:t>2</m:t>
                  </m:r>
                  <m:r>
                    <m:t>,</m:t>
                  </m:r>
                  <m:r>
                    <m:t>n</m:t>
                  </m:r>
                  <m:r>
                    <m:t>′</m:t>
                  </m:r>
                  <m:r>
                    <m:t>−</m:t>
                  </m:r>
                  <m:r>
                    <m:t>p</m:t>
                  </m:r>
                </m:sub>
              </m:sSub>
            </m:num>
            <m:den>
              <m:r>
                <m:t>m</m:t>
              </m:r>
              <m:r>
                <m:t>*</m:t>
              </m:r>
              <m:bar>
                <m:barPr>
                  <m:pos m:val="top"/>
                </m:barPr>
                <m:e>
                  <m:sSub>
                    <m:e>
                      <m:r>
                        <m:t>E</m:t>
                      </m:r>
                    </m:e>
                    <m:sub>
                      <m:r>
                        <m:t>b</m:t>
                      </m:r>
                      <m:r>
                        <m:t>a</m:t>
                      </m:r>
                      <m:r>
                        <m:t>s</m:t>
                      </m:r>
                      <m:r>
                        <m:t>e</m:t>
                      </m:r>
                      <m:r>
                        <m:t>,</m:t>
                      </m:r>
                      <m:r>
                        <m:t>n</m:t>
                      </m:r>
                    </m:sub>
                  </m:sSub>
                </m:e>
              </m:bar>
              <m:r>
                <m:t>*</m:t>
              </m:r>
              <m:r>
                <m:t>F</m:t>
              </m:r>
            </m:den>
          </m:f>
          <m:r>
            <m:t>[</m:t>
          </m:r>
          <m:r>
            <m:t>M</m:t>
          </m:r>
          <m:r>
            <m:t>S</m:t>
          </m:r>
          <m:r>
            <m:t>E</m:t>
          </m:r>
          <m:r>
            <m:t>′</m:t>
          </m:r>
          <m:r>
            <m:t>(</m:t>
          </m:r>
          <m:r>
            <m:t>1</m:t>
          </m:r>
          <m:r>
            <m:t>+</m:t>
          </m:r>
          <m:r>
            <m:t>2</m:t>
          </m:r>
          <m:r>
            <m:t>/</m:t>
          </m:r>
          <m:r>
            <m:t>n</m:t>
          </m:r>
          <m:r>
            <m:t>′</m:t>
          </m:r>
          <m:r>
            <m:t>)</m:t>
          </m:r>
          <m:r>
            <m:t>*</m:t>
          </m:r>
          <m:r>
            <m:t>m</m:t>
          </m:r>
          <m:sSup>
            <m:e>
              <m:r>
                <m:t>]</m:t>
              </m:r>
            </m:e>
            <m:sup>
              <m:r>
                <m:t>1</m:t>
              </m:r>
              <m:r>
                <m:t>/</m:t>
              </m:r>
              <m:r>
                <m:t>2</m:t>
              </m:r>
            </m:sup>
          </m:sSup>
        </m:oMath>
      </m:oMathPara>
    </w:p>
    <w:p>
      <w:pPr>
        <w:pStyle w:val="FirstParagraph"/>
      </w:pPr>
      <m:oMathPara>
        <m:oMathParaPr>
          <m:jc m:val="center"/>
        </m:oMathParaPr>
        <m:oMath>
          <m:r>
            <m:t>M</m:t>
          </m:r>
          <m:r>
            <m:t>S</m:t>
          </m:r>
          <m:r>
            <m:t>E</m:t>
          </m:r>
          <m:r>
            <m:t>′</m:t>
          </m:r>
          <m:r>
            <m:t>=</m:t>
          </m:r>
          <m:f>
            <m:fPr>
              <m:type m:val="bar"/>
            </m:fPr>
            <m:num>
              <m:r>
                <m:t>1</m:t>
              </m:r>
            </m:num>
            <m:den>
              <m:r>
                <m:t>n</m:t>
              </m:r>
              <m:r>
                <m:t>′</m:t>
              </m:r>
              <m:r>
                <m:t>−</m:t>
              </m:r>
              <m:r>
                <m:t>p</m:t>
              </m:r>
            </m:den>
          </m:f>
          <m:nary>
            <m:naryPr>
              <m:chr m:val="∑"/>
              <m:limLoc m:val="undOvr"/>
              <m:subHide m:val="0"/>
              <m:supHide m:val="0"/>
            </m:naryPr>
            <m:sub>
              <m:r>
                <m:t>i</m:t>
              </m:r>
            </m:sub>
            <m:sup>
              <m:r>
                <m:t>n</m:t>
              </m:r>
            </m:sup>
            <m:e>
              <m:r>
                <m:t>(</m:t>
              </m:r>
            </m:e>
          </m:nary>
          <m:sSub>
            <m:e>
              <m:r>
                <m:t>E</m:t>
              </m:r>
            </m:e>
            <m:sub>
              <m:r>
                <m:t>i</m:t>
              </m:r>
            </m:sub>
          </m:sSub>
          <m:r>
            <m:t>−</m:t>
          </m:r>
          <m:sSub>
            <m:e>
              <m:acc>
                <m:accPr>
                  <m:chr m:val="̂"/>
                </m:accPr>
                <m:e>
                  <m:r>
                    <m:t>E</m:t>
                  </m:r>
                </m:e>
              </m:acc>
            </m:e>
            <m:sub>
              <m:r>
                <m:t>i</m:t>
              </m:r>
            </m:sub>
          </m:sSub>
          <m:sSup>
            <m:e>
              <m:r>
                <m:t>)</m:t>
              </m:r>
            </m:e>
            <m:sup>
              <m:r>
                <m:t>2</m:t>
              </m:r>
            </m:sup>
          </m:sSup>
        </m:oMath>
      </m:oMathPara>
    </w:p>
    <w:p>
      <w:pPr>
        <w:pStyle w:val="FirstParagraph"/>
      </w:pPr>
      <w:r>
        <w:t xml:space="preserve">where MSE’ is the mean squared error of the model.</w:t>
      </w:r>
    </w:p>
    <w:p>
      <w:pPr>
        <w:pStyle w:val="BodyText"/>
      </w:pPr>
      <w:r>
        <w:t xml:space="preserve">Savings Uncertainty, models without autocorrelation (monthly):</w:t>
      </w:r>
    </w:p>
    <w:p>
      <w:pPr>
        <w:pStyle w:val="BodyText"/>
      </w:pPr>
      <m:oMathPara>
        <m:oMathParaPr>
          <m:jc m:val="center"/>
        </m:oMathParaPr>
        <m:oMath>
          <m:r>
            <m:t>U</m:t>
          </m:r>
          <m:r>
            <m:t>=</m:t>
          </m:r>
          <m:f>
            <m:fPr>
              <m:type m:val="bar"/>
            </m:fPr>
            <m:num>
              <m:r>
                <m:t>Δ</m:t>
              </m:r>
              <m:sSub>
                <m:e>
                  <m:r>
                    <m:t>E</m:t>
                  </m:r>
                </m:e>
                <m:sub>
                  <m:r>
                    <m:t>s</m:t>
                  </m:r>
                  <m:r>
                    <m:t>a</m:t>
                  </m:r>
                  <m:r>
                    <m:t>v</m:t>
                  </m:r>
                  <m:r>
                    <m:t>e</m:t>
                  </m:r>
                  <m:r>
                    <m:t>,</m:t>
                  </m:r>
                  <m:r>
                    <m:t>m</m:t>
                  </m:r>
                </m:sub>
              </m:sSub>
            </m:num>
            <m:den>
              <m:sSub>
                <m:e>
                  <m:r>
                    <m:t>E</m:t>
                  </m:r>
                </m:e>
                <m:sub>
                  <m:r>
                    <m:t>s</m:t>
                  </m:r>
                  <m:r>
                    <m:t>a</m:t>
                  </m:r>
                  <m:r>
                    <m:t>v</m:t>
                  </m:r>
                  <m:r>
                    <m:t>e</m:t>
                  </m:r>
                  <m:r>
                    <m:t>,</m:t>
                  </m:r>
                  <m:r>
                    <m:t>m</m:t>
                  </m:r>
                </m:sub>
              </m:sSub>
            </m:den>
          </m:f>
          <m:r>
            <m:t>=</m:t>
          </m:r>
          <m:f>
            <m:fPr>
              <m:type m:val="bar"/>
            </m:fPr>
            <m:num>
              <m:r>
                <m:t>α</m:t>
              </m:r>
              <m:r>
                <m:t>*</m:t>
              </m:r>
              <m:sSub>
                <m:e>
                  <m:r>
                    <m:t>t</m:t>
                  </m:r>
                </m:e>
                <m:sub>
                  <m:r>
                    <m:t>(</m:t>
                  </m:r>
                  <m:r>
                    <m:t>1</m:t>
                  </m:r>
                  <m:r>
                    <m:t>−</m:t>
                  </m:r>
                  <m:r>
                    <m:t>α</m:t>
                  </m:r>
                  <m:r>
                    <m:t>)</m:t>
                  </m:r>
                  <m:r>
                    <m:t>/</m:t>
                  </m:r>
                  <m:r>
                    <m:t>2</m:t>
                  </m:r>
                  <m:r>
                    <m:t>,</m:t>
                  </m:r>
                  <m:r>
                    <m:t>n</m:t>
                  </m:r>
                  <m:r>
                    <m:t>−</m:t>
                  </m:r>
                  <m:r>
                    <m:t>p</m:t>
                  </m:r>
                </m:sub>
              </m:sSub>
            </m:num>
            <m:den>
              <m:r>
                <m:t>m</m:t>
              </m:r>
              <m:r>
                <m:t>*</m:t>
              </m:r>
              <m:bar>
                <m:barPr>
                  <m:pos m:val="top"/>
                </m:barPr>
                <m:e>
                  <m:sSub>
                    <m:e>
                      <m:r>
                        <m:t>E</m:t>
                      </m:r>
                    </m:e>
                    <m:sub>
                      <m:r>
                        <m:t>b</m:t>
                      </m:r>
                      <m:r>
                        <m:t>a</m:t>
                      </m:r>
                      <m:r>
                        <m:t>s</m:t>
                      </m:r>
                      <m:r>
                        <m:t>e</m:t>
                      </m:r>
                      <m:r>
                        <m:t>,</m:t>
                      </m:r>
                      <m:r>
                        <m:t>n</m:t>
                      </m:r>
                    </m:sub>
                  </m:sSub>
                </m:e>
              </m:bar>
              <m:r>
                <m:t>*</m:t>
              </m:r>
              <m:r>
                <m:t>F</m:t>
              </m:r>
            </m:den>
          </m:f>
          <m:r>
            <m:t>[</m:t>
          </m:r>
          <m:r>
            <m:t>M</m:t>
          </m:r>
          <m:r>
            <m:t>S</m:t>
          </m:r>
          <m:r>
            <m:t>E</m:t>
          </m:r>
          <m:r>
            <m:t>(</m:t>
          </m:r>
          <m:r>
            <m:t>1</m:t>
          </m:r>
          <m:r>
            <m:t>+</m:t>
          </m:r>
          <m:r>
            <m:t>2</m:t>
          </m:r>
          <m:r>
            <m:t>/</m:t>
          </m:r>
          <m:r>
            <m:t>n</m:t>
          </m:r>
          <m:r>
            <m:t>)</m:t>
          </m:r>
          <m:r>
            <m:t>*</m:t>
          </m:r>
          <m:r>
            <m:t>m</m:t>
          </m:r>
          <m:sSup>
            <m:e>
              <m:r>
                <m:t>]</m:t>
              </m:r>
            </m:e>
            <m:sup>
              <m:r>
                <m:t>1</m:t>
              </m:r>
              <m:r>
                <m:t>/</m:t>
              </m:r>
              <m:r>
                <m:t>2</m:t>
              </m:r>
            </m:sup>
          </m:sSup>
        </m:oMath>
      </m:oMathPara>
    </w:p>
    <w:p>
      <w:pPr>
        <w:pStyle w:val="FirstParagraph"/>
      </w:pPr>
      <w:r>
        <w:t xml:space="preserve">Energy Savings Required for Uncertainty @ 90% Confidence Interval (10%) = 0.1*E</w:t>
      </w:r>
    </w:p>
    <w:p>
      <w:pPr>
        <w:pStyle w:val="BodyText"/>
      </w:pPr>
      <w:r>
        <w:t xml:space="preserve">Where:</w:t>
      </w:r>
    </w:p>
    <w:p>
      <w:pPr>
        <w:numPr>
          <w:numId w:val="1002"/>
          <w:ilvl w:val="0"/>
        </w:numPr>
      </w:pPr>
      <m:oMath>
        <m:sSub>
          <m:e>
            <m:r>
              <m:t>E</m:t>
            </m:r>
          </m:e>
          <m:sub>
            <m:r>
              <m:t>i</m:t>
            </m:r>
          </m:sub>
        </m:sSub>
      </m:oMath>
      <w:r>
        <w:t xml:space="preserve"> </w:t>
      </w:r>
      <w:r>
        <w:t xml:space="preserve">is the measured energy use in any time interval, in energy units</w:t>
      </w:r>
    </w:p>
    <w:p>
      <w:pPr>
        <w:numPr>
          <w:numId w:val="1002"/>
          <w:ilvl w:val="0"/>
        </w:numPr>
      </w:pPr>
      <m:oMath>
        <m:acc>
          <m:accPr>
            <m:chr m:val="̂"/>
          </m:accPr>
          <m:e>
            <m:sSub>
              <m:e>
                <m:r>
                  <m:t>E</m:t>
                </m:r>
              </m:e>
              <m:sub>
                <m:r>
                  <m:t>i</m:t>
                </m:r>
              </m:sub>
            </m:sSub>
          </m:e>
        </m:acc>
      </m:oMath>
      <w:r>
        <w:t xml:space="preserve"> </w:t>
      </w:r>
      <w:r>
        <w:t xml:space="preserve">is the model’s predicted energy use in any time interval, in energy units</w:t>
      </w:r>
    </w:p>
    <w:p>
      <w:pPr>
        <w:numPr>
          <w:numId w:val="1002"/>
          <w:ilvl w:val="0"/>
        </w:numPr>
      </w:pPr>
      <m:oMath>
        <m:bar>
          <m:barPr>
            <m:pos m:val="top"/>
          </m:barPr>
          <m:e>
            <m:r>
              <m:t>E</m:t>
            </m:r>
          </m:e>
        </m:bar>
      </m:oMath>
      <w:r>
        <w:t xml:space="preserve"> </w:t>
      </w:r>
      <w:r>
        <w:t xml:space="preserve">is the average energy use over all the time intervals, in energy units</w:t>
      </w:r>
    </w:p>
    <w:p>
      <w:pPr>
        <w:numPr>
          <w:numId w:val="1002"/>
          <w:ilvl w:val="0"/>
        </w:numPr>
      </w:pPr>
      <m:oMath>
        <m:r>
          <m:t>Δ</m:t>
        </m:r>
        <m:sSub>
          <m:e>
            <m:r>
              <m:t>E</m:t>
            </m:r>
          </m:e>
          <m:sub>
            <m:r>
              <m:t>s</m:t>
            </m:r>
            <m:r>
              <m:t>a</m:t>
            </m:r>
            <m:r>
              <m:t>v</m:t>
            </m:r>
            <m:r>
              <m:t>e</m:t>
            </m:r>
            <m:r>
              <m:t>,</m:t>
            </m:r>
            <m:r>
              <m:t>m</m:t>
            </m:r>
          </m:sub>
        </m:sSub>
      </m:oMath>
      <w:r>
        <w:t xml:space="preserve"> </w:t>
      </w:r>
      <w:r>
        <w:t xml:space="preserve">is the absolute precision of the savings estimate over m time periods, in energy units</w:t>
      </w:r>
    </w:p>
    <w:p>
      <w:pPr>
        <w:numPr>
          <w:numId w:val="1002"/>
          <w:ilvl w:val="0"/>
        </w:numPr>
      </w:pPr>
      <m:oMath>
        <m:sSub>
          <m:e>
            <m:r>
              <m:t>E</m:t>
            </m:r>
          </m:e>
          <m:sub>
            <m:r>
              <m:t>s</m:t>
            </m:r>
            <m:r>
              <m:t>a</m:t>
            </m:r>
            <m:r>
              <m:t>v</m:t>
            </m:r>
            <m:r>
              <m:t>e</m:t>
            </m:r>
            <m:r>
              <m:t>,</m:t>
            </m:r>
            <m:r>
              <m:t>m</m:t>
            </m:r>
          </m:sub>
        </m:sSub>
      </m:oMath>
      <w:r>
        <w:t xml:space="preserve"> </w:t>
      </w:r>
      <w:r>
        <w:t xml:space="preserve">is the estimated energy savings over m time periods, in energy units</w:t>
      </w:r>
    </w:p>
    <w:p>
      <w:pPr>
        <w:numPr>
          <w:numId w:val="1002"/>
          <w:ilvl w:val="0"/>
        </w:numPr>
      </w:pPr>
      <m:oMath>
        <m:r>
          <m:t>n</m:t>
        </m:r>
      </m:oMath>
      <w:r>
        <w:t xml:space="preserve"> </w:t>
      </w:r>
      <w:r>
        <w:t xml:space="preserve">is the number of data points in the training period</w:t>
      </w:r>
    </w:p>
    <w:p>
      <w:pPr>
        <w:numPr>
          <w:numId w:val="1002"/>
          <w:ilvl w:val="0"/>
        </w:numPr>
      </w:pPr>
      <m:oMath>
        <m:r>
          <m:t>p</m:t>
        </m:r>
      </m:oMath>
      <w:r>
        <w:t xml:space="preserve"> </w:t>
      </w:r>
      <w:r>
        <w:t xml:space="preserve">is the number of parameters in the model</w:t>
      </w:r>
    </w:p>
    <w:p>
      <w:pPr>
        <w:numPr>
          <w:numId w:val="1002"/>
          <w:ilvl w:val="0"/>
        </w:numPr>
      </w:pPr>
      <m:oMath>
        <m:r>
          <m:t>t</m:t>
        </m:r>
      </m:oMath>
      <w:r>
        <w:t xml:space="preserve"> </w:t>
      </w:r>
      <w:r>
        <w:t xml:space="preserve">is student’s t-statistic for the specified confidence level and n-p degrees of freedom</w:t>
      </w:r>
    </w:p>
    <w:p>
      <w:pPr>
        <w:numPr>
          <w:numId w:val="1002"/>
          <w:ilvl w:val="0"/>
        </w:numPr>
      </w:pPr>
      <m:oMath>
        <m:r>
          <m:t>a</m:t>
        </m:r>
        <m:r>
          <m:t>l</m:t>
        </m:r>
        <m:r>
          <m:t>p</m:t>
        </m:r>
        <m:r>
          <m:t>h</m:t>
        </m:r>
        <m:r>
          <m:t>a</m:t>
        </m:r>
      </m:oMath>
      <w:r>
        <w:t xml:space="preserve"> </w:t>
      </w:r>
      <w:r>
        <w:t xml:space="preserve">is an equation depending on the analysis time interval:</w:t>
      </w:r>
    </w:p>
    <w:p>
      <w:pPr>
        <w:pStyle w:val="Compact"/>
        <w:numPr>
          <w:numId w:val="1003"/>
          <w:ilvl w:val="1"/>
        </w:numPr>
      </w:pPr>
      <m:oMath>
        <m:r>
          <m:t>α</m:t>
        </m:r>
        <m:r>
          <m:t>=</m:t>
        </m:r>
        <m:r>
          <m:t>1.26</m:t>
        </m:r>
      </m:oMath>
      <w:r>
        <w:t xml:space="preserve"> </w:t>
      </w:r>
      <w:r>
        <w:t xml:space="preserve">for hourly interval data</w:t>
      </w:r>
    </w:p>
    <w:p>
      <w:pPr>
        <w:pStyle w:val="Compact"/>
        <w:numPr>
          <w:numId w:val="1003"/>
          <w:ilvl w:val="1"/>
        </w:numPr>
      </w:pPr>
      <m:oMath>
        <m:r>
          <m:t>α</m:t>
        </m:r>
        <m:r>
          <m:t>=</m:t>
        </m:r>
        <m:r>
          <m:t>−</m:t>
        </m:r>
        <m:r>
          <m:t>0.00024</m:t>
        </m:r>
        <m:sSup>
          <m:e>
            <m:r>
              <m:t>M</m:t>
            </m:r>
          </m:e>
          <m:sup>
            <m:r>
              <m:t>2</m:t>
            </m:r>
          </m:sup>
        </m:sSup>
        <m:r>
          <m:t>+</m:t>
        </m:r>
        <m:r>
          <m:t>0.03535</m:t>
        </m:r>
        <m:r>
          <m:t>M</m:t>
        </m:r>
        <m:r>
          <m:t>+</m:t>
        </m:r>
        <m:r>
          <m:t>1.00286</m:t>
        </m:r>
      </m:oMath>
      <w:r>
        <w:t xml:space="preserve"> </w:t>
      </w:r>
      <w:r>
        <w:t xml:space="preserve">for daily interval data</w:t>
      </w:r>
    </w:p>
    <w:p>
      <w:pPr>
        <w:pStyle w:val="Compact"/>
        <w:numPr>
          <w:numId w:val="1003"/>
          <w:ilvl w:val="1"/>
        </w:numPr>
      </w:pPr>
      <m:oMath>
        <m:r>
          <m:t>α</m:t>
        </m:r>
        <m:r>
          <m:t>=</m:t>
        </m:r>
        <m:r>
          <m:t>−</m:t>
        </m:r>
        <m:r>
          <m:t>0.00022</m:t>
        </m:r>
        <m:sSup>
          <m:e>
            <m:r>
              <m:t>M</m:t>
            </m:r>
          </m:e>
          <m:sup>
            <m:r>
              <m:t>2</m:t>
            </m:r>
          </m:sup>
        </m:sSup>
        <m:r>
          <m:t>+</m:t>
        </m:r>
        <m:r>
          <m:t>0.03606</m:t>
        </m:r>
        <m:r>
          <m:t>M</m:t>
        </m:r>
        <m:r>
          <m:t>+</m:t>
        </m:r>
        <m:r>
          <m:t>1.94054</m:t>
        </m:r>
      </m:oMath>
      <w:r>
        <w:t xml:space="preserve"> </w:t>
      </w:r>
      <w:r>
        <w:t xml:space="preserve">for monthly interval data</w:t>
      </w:r>
    </w:p>
    <w:p>
      <w:pPr>
        <w:numPr>
          <w:numId w:val="1000"/>
          <w:ilvl w:val="0"/>
        </w:numPr>
      </w:pPr>
      <w:r>
        <w:t xml:space="preserve">M is the number of months in the reporting period</w:t>
      </w:r>
    </w:p>
    <w:p>
      <w:pPr>
        <w:numPr>
          <w:numId w:val="1002"/>
          <w:ilvl w:val="0"/>
        </w:numPr>
      </w:pPr>
      <m:oMath>
        <m:r>
          <m:t>n</m:t>
        </m:r>
        <m:r>
          <m:t>′</m:t>
        </m:r>
      </m:oMath>
      <w:r>
        <w:t xml:space="preserve"> </w:t>
      </w:r>
      <w:r>
        <w:t xml:space="preserve">is the number of data points in the model training period, corrected for autocorrelation</w:t>
      </w:r>
    </w:p>
    <w:p>
      <w:pPr>
        <w:numPr>
          <w:numId w:val="1002"/>
          <w:ilvl w:val="0"/>
        </w:numPr>
      </w:pPr>
      <m:oMath>
        <m:r>
          <m:t>m</m:t>
        </m:r>
      </m:oMath>
      <w:r>
        <w:t xml:space="preserve"> </w:t>
      </w:r>
      <w:r>
        <w:t xml:space="preserve">is the number of data points in the proposed post-installation period</w:t>
      </w:r>
    </w:p>
    <w:p>
      <w:pPr>
        <w:numPr>
          <w:numId w:val="1002"/>
          <w:ilvl w:val="0"/>
        </w:numPr>
      </w:pPr>
      <m:oMath>
        <m:r>
          <m:t>F</m:t>
        </m:r>
      </m:oMath>
      <w:r>
        <w:t xml:space="preserve"> </w:t>
      </w:r>
      <w:r>
        <w:t xml:space="preserve">is the expected savings, expressed as a fraction of training period energy use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5" Type="http://schemas.openxmlformats.org/officeDocument/2006/relationships/fontTable" Target="fontTable.xml"/><Relationship Id="rId28" Type="http://schemas.openxmlformats.org/officeDocument/2006/relationships/customXml" Target="../customXml/item3.xml"/><Relationship Id="rId4" Type="http://schemas.openxmlformats.org/officeDocument/2006/relationships/webSettings" Target="webSettings.xml"/><Relationship Id="rId27" Type="http://schemas.openxmlformats.org/officeDocument/2006/relationships/customXml" Target="../customXml/item2.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13DEEB8DFDBB43AD9881783B881784" ma:contentTypeVersion="11" ma:contentTypeDescription="Create a new document." ma:contentTypeScope="" ma:versionID="a95202e2b19aa13a01d87818bdc75c57">
  <xsd:schema xmlns:xsd="http://www.w3.org/2001/XMLSchema" xmlns:xs="http://www.w3.org/2001/XMLSchema" xmlns:p="http://schemas.microsoft.com/office/2006/metadata/properties" xmlns:ns2="047ff218-eaea-4e3a-9e4a-06d1414e70bf" xmlns:ns3="00fea5a9-3240-43f5-b331-22254f54aceb" targetNamespace="http://schemas.microsoft.com/office/2006/metadata/properties" ma:root="true" ma:fieldsID="1fdce1c20654b1961b37acbfaa5b030b" ns2:_="" ns3:_="">
    <xsd:import namespace="047ff218-eaea-4e3a-9e4a-06d1414e70bf"/>
    <xsd:import namespace="00fea5a9-3240-43f5-b331-22254f54ace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7ff218-eaea-4e3a-9e4a-06d1414e70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fea5a9-3240-43f5-b331-22254f54ace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B35E01-6C23-435F-A315-884B6BD3E978}"/>
</file>

<file path=customXml/itemProps2.xml><?xml version="1.0" encoding="utf-8"?>
<ds:datastoreItem xmlns:ds="http://schemas.openxmlformats.org/officeDocument/2006/customXml" ds:itemID="{24BD2D37-7456-431E-B5D4-0C9788EA88AD}"/>
</file>

<file path=customXml/itemProps3.xml><?xml version="1.0" encoding="utf-8"?>
<ds:datastoreItem xmlns:ds="http://schemas.openxmlformats.org/officeDocument/2006/customXml" ds:itemID="{F6135D68-232D-41E9-BE0E-8729BC7B2BC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Predictability Analysis for Millennium Tower</dc:title>
  <dc:creator/>
  <cp:keywords/>
  <dcterms:created xsi:type="dcterms:W3CDTF">2021-02-10T06:05:04Z</dcterms:created>
  <dcterms:modified xsi:type="dcterms:W3CDTF">2021-02-10T06:05:04Z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February, 2021</vt:lpwstr>
  </property>
  <property fmtid="{D5CDD505-2E9C-101B-9397-08002B2CF9AE}" pid="3" name="output">
    <vt:lpwstr/>
  </property>
  <property fmtid="{D5CDD505-2E9C-101B-9397-08002B2CF9AE}" pid="4" name="ContentTypeId">
    <vt:lpwstr>0x010100FF13DEEB8DFDBB43AD9881783B881784</vt:lpwstr>
  </property>
</Properties>
</file>