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E658D3">
      <w:pPr>
        <w:spacing w:before="1200" w:after="180"/>
        <w:jc w:val="both"/>
      </w:pPr>
    </w:p>
    <w:p w14:paraId="7275BC53">
      <w:pPr>
        <w:spacing w:before="0" w:after="120"/>
        <w:jc w:val="center"/>
        <w:rPr>
          <w:rFonts w:hint="default"/>
          <w:lang w:val="en-US"/>
        </w:rPr>
      </w:pPr>
      <w:r>
        <w:rPr>
          <w:rFonts w:ascii="Arial" w:hAnsi="Arial" w:eastAsia="Arial" w:cs="Arial"/>
          <w:b/>
          <w:bCs/>
          <w:color w:val="0D3B7A"/>
          <w:sz w:val="60"/>
          <w:szCs w:val="60"/>
        </w:rPr>
        <w:t xml:space="preserve">Student Fitness Meter </w:t>
      </w:r>
    </w:p>
    <w:p w14:paraId="575D7DE2">
      <w:pPr>
        <w:spacing w:before="0" w:after="100"/>
        <w:jc w:val="center"/>
      </w:pPr>
      <w:r>
        <w:rPr>
          <w:rFonts w:ascii="Arial" w:hAnsi="Arial" w:eastAsia="Arial" w:cs="Arial"/>
          <w:color w:val="1A56B0"/>
          <w:sz w:val="36"/>
          <w:szCs w:val="36"/>
        </w:rPr>
        <w:t>Need, Machine Learning &amp; AI Engine</w:t>
      </w:r>
    </w:p>
    <w:p w14:paraId="4EBCA10A">
      <w:pPr>
        <w:spacing w:before="0" w:after="80"/>
        <w:jc w:val="center"/>
      </w:pPr>
      <w:r>
        <w:rPr>
          <w:rFonts w:ascii="Arial" w:hAnsi="Arial" w:eastAsia="Arial" w:cs="Arial"/>
          <w:i/>
          <w:iCs/>
          <w:color w:val="475569"/>
          <w:sz w:val="26"/>
          <w:szCs w:val="26"/>
        </w:rPr>
        <w:t>A Detailed Technical &amp; Conceptual</w:t>
      </w:r>
      <w:bookmarkStart w:id="0" w:name="_GoBack"/>
      <w:bookmarkEnd w:id="0"/>
      <w:r>
        <w:rPr>
          <w:rFonts w:ascii="Arial" w:hAnsi="Arial" w:eastAsia="Arial" w:cs="Arial"/>
          <w:i/>
          <w:iCs/>
          <w:color w:val="475569"/>
          <w:sz w:val="26"/>
          <w:szCs w:val="26"/>
        </w:rPr>
        <w:t xml:space="preserve"> Report</w:t>
      </w:r>
    </w:p>
    <w:p w14:paraId="05CB074B">
      <w:pPr>
        <w:spacing w:before="0" w:after="500"/>
        <w:jc w:val="center"/>
      </w:pPr>
      <w:r>
        <w:rPr>
          <w:rFonts w:ascii="Arial" w:hAnsi="Arial" w:eastAsia="Arial" w:cs="Arial"/>
          <w:color w:val="5A6A80"/>
          <w:sz w:val="22"/>
          <w:szCs w:val="22"/>
        </w:rPr>
        <w:t>VTU · B.E. Robotics &amp; Artificial Intelligence (RAI) · Semesters 3–8</w:t>
      </w:r>
    </w:p>
    <w:tbl>
      <w:tblPr>
        <w:tblStyle w:val="9"/>
        <w:tblW w:w="6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tblGrid>
      <w:tr w14:paraId="20564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5CDD8" w:sz="0" w:space="0"/>
              <w:left w:val="single" w:color="C5CDD8" w:sz="0" w:space="0"/>
              <w:bottom w:val="single" w:color="C5CDD8" w:sz="0" w:space="0"/>
              <w:right w:val="single" w:color="C5CDD8" w:sz="0" w:space="0"/>
            </w:tcBorders>
            <w:shd w:val="clear" w:color="auto" w:fill="EEF2F7"/>
            <w:tcMar>
              <w:top w:w="80" w:type="dxa"/>
              <w:left w:w="140" w:type="dxa"/>
              <w:bottom w:w="80" w:type="dxa"/>
              <w:right w:w="140" w:type="dxa"/>
            </w:tcMar>
          </w:tcPr>
          <w:p w14:paraId="03A552A6">
            <w:r>
              <w:rPr>
                <w:rFonts w:ascii="Arial" w:hAnsi="Arial" w:eastAsia="Arial" w:cs="Arial"/>
                <w:b/>
                <w:bCs/>
                <w:color w:val="0D3B7A"/>
                <w:sz w:val="20"/>
                <w:szCs w:val="20"/>
              </w:rPr>
              <w:t>Subject</w:t>
            </w:r>
          </w:p>
        </w:tc>
        <w:tc>
          <w:tcPr>
            <w:tcW w:w="3000" w:type="dxa"/>
            <w:tcBorders>
              <w:top w:val="single" w:color="C5CDD8" w:sz="0" w:space="0"/>
              <w:left w:val="single" w:color="C5CDD8" w:sz="0" w:space="0"/>
              <w:bottom w:val="single" w:color="C5CDD8" w:sz="0" w:space="0"/>
              <w:right w:val="single" w:color="C5CDD8" w:sz="0" w:space="0"/>
            </w:tcBorders>
            <w:shd w:val="clear" w:color="auto" w:fill="FFFFFF"/>
            <w:tcMar>
              <w:top w:w="80" w:type="dxa"/>
              <w:left w:w="140" w:type="dxa"/>
              <w:bottom w:w="80" w:type="dxa"/>
              <w:right w:w="140" w:type="dxa"/>
            </w:tcMar>
          </w:tcPr>
          <w:p w14:paraId="20CB76EA">
            <w:r>
              <w:rPr>
                <w:rFonts w:ascii="Arial" w:hAnsi="Arial" w:eastAsia="Arial" w:cs="Arial"/>
                <w:b w:val="0"/>
                <w:bCs w:val="0"/>
                <w:color w:val="1A1A2E"/>
                <w:sz w:val="20"/>
                <w:szCs w:val="20"/>
              </w:rPr>
              <w:t>Student Academic Risk Analytics</w:t>
            </w:r>
          </w:p>
        </w:tc>
      </w:tr>
      <w:tr w14:paraId="558DC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5CDD8" w:sz="0" w:space="0"/>
              <w:left w:val="single" w:color="C5CDD8" w:sz="0" w:space="0"/>
              <w:bottom w:val="single" w:color="C5CDD8" w:sz="0" w:space="0"/>
              <w:right w:val="single" w:color="C5CDD8" w:sz="0" w:space="0"/>
            </w:tcBorders>
            <w:shd w:val="clear" w:color="auto" w:fill="EEF2F7"/>
            <w:tcMar>
              <w:top w:w="80" w:type="dxa"/>
              <w:left w:w="140" w:type="dxa"/>
              <w:bottom w:w="80" w:type="dxa"/>
              <w:right w:w="140" w:type="dxa"/>
            </w:tcMar>
          </w:tcPr>
          <w:p w14:paraId="5543232B">
            <w:r>
              <w:rPr>
                <w:rFonts w:ascii="Arial" w:hAnsi="Arial" w:eastAsia="Arial" w:cs="Arial"/>
                <w:b/>
                <w:bCs/>
                <w:color w:val="0D3B7A"/>
                <w:sz w:val="20"/>
                <w:szCs w:val="20"/>
              </w:rPr>
              <w:t>ML Algorithm</w:t>
            </w:r>
          </w:p>
        </w:tc>
        <w:tc>
          <w:tcPr>
            <w:tcW w:w="3000" w:type="dxa"/>
            <w:tcBorders>
              <w:top w:val="single" w:color="C5CDD8" w:sz="0" w:space="0"/>
              <w:left w:val="single" w:color="C5CDD8" w:sz="0" w:space="0"/>
              <w:bottom w:val="single" w:color="C5CDD8" w:sz="0" w:space="0"/>
              <w:right w:val="single" w:color="C5CDD8" w:sz="0" w:space="0"/>
            </w:tcBorders>
            <w:shd w:val="clear" w:color="auto" w:fill="FFFFFF"/>
            <w:tcMar>
              <w:top w:w="80" w:type="dxa"/>
              <w:left w:w="140" w:type="dxa"/>
              <w:bottom w:w="80" w:type="dxa"/>
              <w:right w:w="140" w:type="dxa"/>
            </w:tcMar>
          </w:tcPr>
          <w:p w14:paraId="6A7B299B">
            <w:r>
              <w:rPr>
                <w:rFonts w:ascii="Arial" w:hAnsi="Arial" w:eastAsia="Arial" w:cs="Arial"/>
                <w:b w:val="0"/>
                <w:bCs w:val="0"/>
                <w:color w:val="1A1A2E"/>
                <w:sz w:val="20"/>
                <w:szCs w:val="20"/>
              </w:rPr>
              <w:t>Decision Tree + Gradient Boost</w:t>
            </w:r>
          </w:p>
        </w:tc>
      </w:tr>
      <w:tr w14:paraId="2A376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5CDD8" w:sz="0" w:space="0"/>
              <w:left w:val="single" w:color="C5CDD8" w:sz="0" w:space="0"/>
              <w:bottom w:val="single" w:color="C5CDD8" w:sz="0" w:space="0"/>
              <w:right w:val="single" w:color="C5CDD8" w:sz="0" w:space="0"/>
            </w:tcBorders>
            <w:shd w:val="clear" w:color="auto" w:fill="EEF2F7"/>
            <w:tcMar>
              <w:top w:w="80" w:type="dxa"/>
              <w:left w:w="140" w:type="dxa"/>
              <w:bottom w:w="80" w:type="dxa"/>
              <w:right w:w="140" w:type="dxa"/>
            </w:tcMar>
          </w:tcPr>
          <w:p w14:paraId="749A27E8">
            <w:r>
              <w:rPr>
                <w:rFonts w:ascii="Arial" w:hAnsi="Arial" w:eastAsia="Arial" w:cs="Arial"/>
                <w:b/>
                <w:bCs/>
                <w:color w:val="0D3B7A"/>
                <w:sz w:val="20"/>
                <w:szCs w:val="20"/>
              </w:rPr>
              <w:t>AI Engine Type</w:t>
            </w:r>
          </w:p>
        </w:tc>
        <w:tc>
          <w:tcPr>
            <w:tcW w:w="3000" w:type="dxa"/>
            <w:tcBorders>
              <w:top w:val="single" w:color="C5CDD8" w:sz="0" w:space="0"/>
              <w:left w:val="single" w:color="C5CDD8" w:sz="0" w:space="0"/>
              <w:bottom w:val="single" w:color="C5CDD8" w:sz="0" w:space="0"/>
              <w:right w:val="single" w:color="C5CDD8" w:sz="0" w:space="0"/>
            </w:tcBorders>
            <w:shd w:val="clear" w:color="auto" w:fill="FFFFFF"/>
            <w:tcMar>
              <w:top w:w="80" w:type="dxa"/>
              <w:left w:w="140" w:type="dxa"/>
              <w:bottom w:w="80" w:type="dxa"/>
              <w:right w:w="140" w:type="dxa"/>
            </w:tcMar>
          </w:tcPr>
          <w:p w14:paraId="62EBEF0E">
            <w:r>
              <w:rPr>
                <w:rFonts w:ascii="Arial" w:hAnsi="Arial" w:eastAsia="Arial" w:cs="Arial"/>
                <w:b w:val="0"/>
                <w:bCs w:val="0"/>
                <w:color w:val="1A1A2E"/>
                <w:sz w:val="20"/>
                <w:szCs w:val="20"/>
              </w:rPr>
              <w:t>Rule-Based 8-Layer Reasoning</w:t>
            </w:r>
          </w:p>
        </w:tc>
      </w:tr>
      <w:tr w14:paraId="74B5D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5CDD8" w:sz="0" w:space="0"/>
              <w:left w:val="single" w:color="C5CDD8" w:sz="0" w:space="0"/>
              <w:bottom w:val="single" w:color="C5CDD8" w:sz="0" w:space="0"/>
              <w:right w:val="single" w:color="C5CDD8" w:sz="0" w:space="0"/>
            </w:tcBorders>
            <w:shd w:val="clear" w:color="auto" w:fill="EEF2F7"/>
            <w:tcMar>
              <w:top w:w="80" w:type="dxa"/>
              <w:left w:w="140" w:type="dxa"/>
              <w:bottom w:w="80" w:type="dxa"/>
              <w:right w:w="140" w:type="dxa"/>
            </w:tcMar>
          </w:tcPr>
          <w:p w14:paraId="1609AE1F">
            <w:r>
              <w:rPr>
                <w:rFonts w:ascii="Arial" w:hAnsi="Arial" w:eastAsia="Arial" w:cs="Arial"/>
                <w:b/>
                <w:bCs/>
                <w:color w:val="0D3B7A"/>
                <w:sz w:val="20"/>
                <w:szCs w:val="20"/>
              </w:rPr>
              <w:t>Training Records</w:t>
            </w:r>
          </w:p>
        </w:tc>
        <w:tc>
          <w:tcPr>
            <w:tcW w:w="3000" w:type="dxa"/>
            <w:tcBorders>
              <w:top w:val="single" w:color="C5CDD8" w:sz="0" w:space="0"/>
              <w:left w:val="single" w:color="C5CDD8" w:sz="0" w:space="0"/>
              <w:bottom w:val="single" w:color="C5CDD8" w:sz="0" w:space="0"/>
              <w:right w:val="single" w:color="C5CDD8" w:sz="0" w:space="0"/>
            </w:tcBorders>
            <w:shd w:val="clear" w:color="auto" w:fill="FFFFFF"/>
            <w:tcMar>
              <w:top w:w="80" w:type="dxa"/>
              <w:left w:w="140" w:type="dxa"/>
              <w:bottom w:w="80" w:type="dxa"/>
              <w:right w:w="140" w:type="dxa"/>
            </w:tcMar>
          </w:tcPr>
          <w:p w14:paraId="4B9D180E">
            <w:r>
              <w:rPr>
                <w:rFonts w:ascii="Arial" w:hAnsi="Arial" w:eastAsia="Arial" w:cs="Arial"/>
                <w:b w:val="0"/>
                <w:bCs w:val="0"/>
                <w:color w:val="1A1A2E"/>
                <w:sz w:val="20"/>
                <w:szCs w:val="20"/>
              </w:rPr>
              <w:t>173 VTU RAI Records</w:t>
            </w:r>
          </w:p>
        </w:tc>
      </w:tr>
    </w:tbl>
    <w:p w14:paraId="0B0060D5">
      <w:pPr>
        <w:pBdr>
          <w:top w:val="single" w:color="1A56B0" w:sz="6" w:space="0"/>
        </w:pBdr>
        <w:spacing w:before="1200" w:after="0"/>
        <w:jc w:val="center"/>
      </w:pPr>
      <w:r>
        <w:rPr>
          <w:rFonts w:ascii="Arial" w:hAnsi="Arial" w:eastAsia="Arial" w:cs="Arial"/>
          <w:b/>
          <w:bCs/>
          <w:color w:val="7A8AA0"/>
          <w:sz w:val="18"/>
          <w:szCs w:val="18"/>
        </w:rPr>
        <w:t>FOR ACADEMIC AND INTERNAL USE ONLY</w:t>
      </w:r>
    </w:p>
    <w:p w14:paraId="7D72A8B2">
      <w:r>
        <w:br w:type="page"/>
      </w:r>
    </w:p>
    <w:p w14:paraId="070A750B">
      <w:pPr>
        <w:pStyle w:val="2"/>
        <w:spacing w:before="400" w:after="140"/>
      </w:pPr>
      <w:r>
        <w:rPr>
          <w:rFonts w:ascii="Arial" w:hAnsi="Arial" w:eastAsia="Arial" w:cs="Arial"/>
          <w:b/>
          <w:bCs/>
          <w:color w:val="0D3B7A"/>
          <w:sz w:val="34"/>
          <w:szCs w:val="34"/>
        </w:rPr>
        <w:t>1. The Need for Student Fitness Meter</w:t>
      </w:r>
    </w:p>
    <w:p w14:paraId="58856575">
      <w:pPr>
        <w:pStyle w:val="3"/>
        <w:spacing w:before="300" w:after="100"/>
      </w:pPr>
      <w:r>
        <w:rPr>
          <w:rFonts w:ascii="Arial" w:hAnsi="Arial" w:eastAsia="Arial" w:cs="Arial"/>
          <w:b/>
          <w:bCs/>
          <w:color w:val="1A56B0"/>
          <w:sz w:val="27"/>
          <w:szCs w:val="27"/>
        </w:rPr>
        <w:t>1.1 The Problem: Delayed and Reactive Intervention</w:t>
      </w:r>
    </w:p>
    <w:p w14:paraId="5A993CF5">
      <w:pPr>
        <w:spacing w:before="80" w:after="80" w:line="290" w:lineRule="auto"/>
      </w:pPr>
      <w:r>
        <w:rPr>
          <w:rFonts w:ascii="Arial" w:hAnsi="Arial" w:eastAsia="Arial" w:cs="Arial"/>
          <w:color w:val="1A1A2E"/>
          <w:sz w:val="22"/>
          <w:szCs w:val="22"/>
        </w:rPr>
        <w:t>In VTU's B.E. Robotics and Artificial Intelligence programme, academic performance is evaluated through a layered system: two Continuous Internal Evaluations (CIE-1 and CIE-2, each out of 50 marks), a lab examination (50 marks), assignments (20 marks), a viva (20 marks), and a Semester End Examination (SEE). Students must independently clear both internal and external components to pass a subject.</w:t>
      </w:r>
    </w:p>
    <w:p w14:paraId="2C90C20E">
      <w:pPr>
        <w:spacing w:before="0" w:after="80"/>
      </w:pPr>
    </w:p>
    <w:p w14:paraId="2F4506B4">
      <w:pPr>
        <w:spacing w:before="80" w:after="80" w:line="290" w:lineRule="auto"/>
      </w:pPr>
      <w:r>
        <w:rPr>
          <w:rFonts w:ascii="Arial" w:hAnsi="Arial" w:eastAsia="Arial" w:cs="Arial"/>
          <w:color w:val="1A1A2E"/>
          <w:sz w:val="22"/>
          <w:szCs w:val="22"/>
        </w:rPr>
        <w:t>Under the traditional paper-based monitoring workflow, faculty are able to identify struggling students only after CIE results are compiled — typically at the midpoint or end of the semester. By the time a student is formally flagged, the window for effective remediation has often already closed. The student may have already forfeited SEE eligibility due to attendance shortfalls that went unnoticed for weeks.</w:t>
      </w:r>
    </w:p>
    <w:p w14:paraId="473EF152">
      <w:pPr>
        <w:spacing w:before="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FF73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2410C" w:sz="6" w:space="0"/>
              <w:left w:val="single" w:color="C2410C" w:sz="16" w:space="0"/>
              <w:bottom w:val="single" w:color="C2410C" w:sz="2" w:space="0"/>
              <w:right w:val="single" w:color="C2410C" w:sz="2" w:space="0"/>
            </w:tcBorders>
            <w:shd w:val="clear" w:color="auto" w:fill="FFF7ED"/>
            <w:tcMar>
              <w:top w:w="100" w:type="dxa"/>
              <w:left w:w="180" w:type="dxa"/>
              <w:bottom w:w="100" w:type="dxa"/>
              <w:right w:w="140" w:type="dxa"/>
            </w:tcMar>
          </w:tcPr>
          <w:p w14:paraId="57661ECB">
            <w:pPr>
              <w:spacing w:before="0" w:after="60"/>
            </w:pPr>
            <w:r>
              <w:rPr>
                <w:rFonts w:ascii="Arial" w:hAnsi="Arial" w:eastAsia="Arial" w:cs="Arial"/>
                <w:b/>
                <w:bCs/>
                <w:color w:val="C2410C"/>
                <w:sz w:val="21"/>
                <w:szCs w:val="21"/>
              </w:rPr>
              <w:t>⚠️  The Core Gap</w:t>
            </w:r>
          </w:p>
          <w:p w14:paraId="244ED7F6">
            <w:pPr>
              <w:spacing w:before="0" w:after="0"/>
            </w:pPr>
            <w:r>
              <w:rPr>
                <w:rFonts w:ascii="Arial" w:hAnsi="Arial" w:eastAsia="Arial" w:cs="Arial"/>
                <w:color w:val="1A1A2E"/>
                <w:sz w:val="20"/>
                <w:szCs w:val="20"/>
              </w:rPr>
              <w:t>There is no existing tool in the VTU ecosystem that combines attendance data, internal assessment scores, lab performance, and assignment compliance into a single, real-time, actionable risk score for each student. Faculty rely on manual cross-referencing of separate registers, spreadsheets, and internal marks lists — a process that is slow, error-prone, and does not scale to batches of 40–60 students.</w:t>
            </w:r>
          </w:p>
        </w:tc>
      </w:tr>
    </w:tbl>
    <w:p w14:paraId="0E6E71A0">
      <w:pPr>
        <w:spacing w:before="0" w:after="80"/>
      </w:pPr>
    </w:p>
    <w:p w14:paraId="1EBCE9B1">
      <w:pPr>
        <w:pStyle w:val="3"/>
        <w:spacing w:before="300" w:after="100"/>
      </w:pPr>
      <w:r>
        <w:rPr>
          <w:rFonts w:ascii="Arial" w:hAnsi="Arial" w:eastAsia="Arial" w:cs="Arial"/>
          <w:b/>
          <w:bCs/>
          <w:color w:val="1A56B0"/>
          <w:sz w:val="27"/>
          <w:szCs w:val="27"/>
        </w:rPr>
        <w:t>1.2 The Consequences of Late Detection</w:t>
      </w:r>
    </w:p>
    <w:p w14:paraId="0DEE0B30">
      <w:pPr>
        <w:spacing w:before="80" w:after="80" w:line="290" w:lineRule="auto"/>
      </w:pPr>
      <w:r>
        <w:rPr>
          <w:rFonts w:ascii="Arial" w:hAnsi="Arial" w:eastAsia="Arial" w:cs="Arial"/>
          <w:color w:val="1A1A2E"/>
          <w:sz w:val="22"/>
          <w:szCs w:val="22"/>
        </w:rPr>
        <w:t>Late identification of at-risk students has documented consequences in the VTU RAI programme:</w:t>
      </w:r>
    </w:p>
    <w:p w14:paraId="6998A5BA">
      <w:pPr>
        <w:spacing w:before="0" w:after="80"/>
      </w:pPr>
    </w:p>
    <w:p w14:paraId="35695EB4">
      <w:pPr>
        <w:pStyle w:val="16"/>
        <w:numPr>
          <w:ilvl w:val="0"/>
          <w:numId w:val="1"/>
        </w:numPr>
        <w:spacing w:before="50" w:after="50" w:line="270" w:lineRule="auto"/>
      </w:pPr>
      <w:r>
        <w:rPr>
          <w:rFonts w:ascii="Arial" w:hAnsi="Arial" w:eastAsia="Arial" w:cs="Arial"/>
          <w:color w:val="1A1A2E"/>
          <w:sz w:val="21"/>
          <w:szCs w:val="21"/>
        </w:rPr>
        <w:t>SEE Disqualification: VTU mandates a minimum 75% attendance for Semester End Examination eligibility. Students falling below this threshold by Week 8–10 often have no mathematical path to recovery in the remaining weeks, regardless of academic ability.</w:t>
      </w:r>
    </w:p>
    <w:p w14:paraId="27693518">
      <w:pPr>
        <w:pStyle w:val="16"/>
        <w:numPr>
          <w:ilvl w:val="0"/>
          <w:numId w:val="1"/>
        </w:numPr>
        <w:spacing w:before="50" w:after="50" w:line="270" w:lineRule="auto"/>
      </w:pPr>
      <w:r>
        <w:rPr>
          <w:rFonts w:ascii="Arial" w:hAnsi="Arial" w:eastAsia="Arial" w:cs="Arial"/>
          <w:color w:val="1A1A2E"/>
          <w:sz w:val="21"/>
          <w:szCs w:val="21"/>
        </w:rPr>
        <w:t>Internal Assessment Failure: VTU requires a minimum 40% (20/50) in the internal component independently. A student can fail the subject even with a strong SEE performance if internal marks are below this threshold. This dual-pass requirement is frequently misunderstood until results are declared.</w:t>
      </w:r>
    </w:p>
    <w:p w14:paraId="5D436AEC">
      <w:pPr>
        <w:pStyle w:val="16"/>
        <w:numPr>
          <w:ilvl w:val="0"/>
          <w:numId w:val="1"/>
        </w:numPr>
        <w:spacing w:before="50" w:after="50" w:line="270" w:lineRule="auto"/>
      </w:pPr>
      <w:r>
        <w:rPr>
          <w:rFonts w:ascii="Arial" w:hAnsi="Arial" w:eastAsia="Arial" w:cs="Arial"/>
          <w:color w:val="1A1A2E"/>
          <w:sz w:val="21"/>
          <w:szCs w:val="21"/>
        </w:rPr>
        <w:t>Cascade Failures: A single semester backlog in B.E. RAI delays the entire academic trajectory — project work, internships, and graduation timelines are all affected. First-generation engineering students and students from economically weaker sections are disproportionately affected.</w:t>
      </w:r>
    </w:p>
    <w:p w14:paraId="2C7F11B2">
      <w:pPr>
        <w:pStyle w:val="16"/>
        <w:numPr>
          <w:ilvl w:val="0"/>
          <w:numId w:val="1"/>
        </w:numPr>
        <w:spacing w:before="50" w:after="50" w:line="270" w:lineRule="auto"/>
      </w:pPr>
      <w:r>
        <w:rPr>
          <w:rFonts w:ascii="Arial" w:hAnsi="Arial" w:eastAsia="Arial" w:cs="Arial"/>
          <w:color w:val="1A1A2E"/>
          <w:sz w:val="21"/>
          <w:szCs w:val="21"/>
        </w:rPr>
        <w:t>Faculty Accountability Gap: Without a centralised analytics view, faculty advisors cannot easily identify which students need intervention, prioritise their time, or demonstrate evidence-based counselling to HODs or examination boards.</w:t>
      </w:r>
    </w:p>
    <w:p w14:paraId="10915DC5">
      <w:pPr>
        <w:spacing w:before="0" w:after="80"/>
      </w:pPr>
    </w:p>
    <w:p w14:paraId="3947452A">
      <w:pPr>
        <w:pStyle w:val="3"/>
        <w:spacing w:before="300" w:after="100"/>
        <w:rPr>
          <w:rFonts w:ascii="Arial" w:hAnsi="Arial" w:eastAsia="Arial" w:cs="Arial"/>
          <w:b/>
          <w:bCs/>
          <w:color w:val="1A56B0"/>
          <w:sz w:val="27"/>
          <w:szCs w:val="27"/>
        </w:rPr>
      </w:pPr>
    </w:p>
    <w:p w14:paraId="7F3638F6">
      <w:pPr>
        <w:pStyle w:val="3"/>
        <w:spacing w:before="300" w:after="100"/>
        <w:rPr>
          <w:rFonts w:ascii="Arial" w:hAnsi="Arial" w:eastAsia="Arial" w:cs="Arial"/>
          <w:b/>
          <w:bCs/>
          <w:color w:val="1A56B0"/>
          <w:sz w:val="27"/>
          <w:szCs w:val="27"/>
        </w:rPr>
      </w:pPr>
    </w:p>
    <w:p w14:paraId="65C5E6C3">
      <w:pPr>
        <w:pStyle w:val="3"/>
        <w:spacing w:before="300" w:after="100"/>
        <w:rPr>
          <w:rFonts w:ascii="Arial" w:hAnsi="Arial" w:eastAsia="Arial" w:cs="Arial"/>
          <w:b/>
          <w:bCs/>
          <w:color w:val="1A56B0"/>
          <w:sz w:val="27"/>
          <w:szCs w:val="27"/>
        </w:rPr>
      </w:pPr>
    </w:p>
    <w:p w14:paraId="53FF168F">
      <w:pPr>
        <w:pStyle w:val="3"/>
        <w:spacing w:before="300" w:after="100"/>
        <w:rPr>
          <w:rFonts w:ascii="Arial" w:hAnsi="Arial" w:eastAsia="Arial" w:cs="Arial"/>
          <w:b/>
          <w:bCs/>
          <w:color w:val="1A56B0"/>
          <w:sz w:val="27"/>
          <w:szCs w:val="27"/>
        </w:rPr>
      </w:pPr>
    </w:p>
    <w:p w14:paraId="43F292DC">
      <w:pPr>
        <w:pStyle w:val="3"/>
        <w:spacing w:before="300" w:after="100"/>
      </w:pPr>
      <w:r>
        <w:rPr>
          <w:rFonts w:ascii="Arial" w:hAnsi="Arial" w:eastAsia="Arial" w:cs="Arial"/>
          <w:b/>
          <w:bCs/>
          <w:color w:val="1A56B0"/>
          <w:sz w:val="27"/>
          <w:szCs w:val="27"/>
        </w:rPr>
        <w:t>1.3 What Student Fitness Meter Solves</w:t>
      </w:r>
    </w:p>
    <w:p w14:paraId="5AA27191">
      <w:pPr>
        <w:spacing w:before="80" w:after="80" w:line="290" w:lineRule="auto"/>
      </w:pPr>
      <w:r>
        <w:rPr>
          <w:rFonts w:ascii="Arial" w:hAnsi="Arial" w:eastAsia="Arial" w:cs="Arial"/>
          <w:color w:val="1A1A2E"/>
          <w:sz w:val="22"/>
          <w:szCs w:val="22"/>
        </w:rPr>
        <w:t>Student Fitness Meter  (SFM ) directly addresses this gap by:</w:t>
      </w:r>
    </w:p>
    <w:p w14:paraId="5FD07A47">
      <w:pPr>
        <w:spacing w:before="0" w:after="80"/>
      </w:pPr>
    </w:p>
    <w:p w14:paraId="4B206A41">
      <w:pPr>
        <w:pStyle w:val="16"/>
        <w:numPr>
          <w:ilvl w:val="0"/>
          <w:numId w:val="2"/>
        </w:numPr>
        <w:spacing w:before="60" w:after="60" w:line="270" w:lineRule="auto"/>
      </w:pPr>
      <w:r>
        <w:rPr>
          <w:rFonts w:ascii="Arial" w:hAnsi="Arial" w:eastAsia="Arial" w:cs="Arial"/>
          <w:color w:val="1A1A2E"/>
          <w:sz w:val="21"/>
          <w:szCs w:val="21"/>
        </w:rPr>
        <w:t>Providing an early warning signal: A composite Fitness Score and four-tier risk classification (FIT / MODERATE / AT RISK / CRITICAL) computed from CSV data uploaded by faculty at any point in the semester — not just at result time.</w:t>
      </w:r>
    </w:p>
    <w:p w14:paraId="367729FB">
      <w:pPr>
        <w:pStyle w:val="16"/>
        <w:numPr>
          <w:ilvl w:val="0"/>
          <w:numId w:val="2"/>
        </w:numPr>
        <w:spacing w:before="60" w:after="60" w:line="270" w:lineRule="auto"/>
      </w:pPr>
      <w:r>
        <w:rPr>
          <w:rFonts w:ascii="Arial" w:hAnsi="Arial" w:eastAsia="Arial" w:cs="Arial"/>
          <w:color w:val="1A1A2E"/>
          <w:sz w:val="21"/>
          <w:szCs w:val="21"/>
        </w:rPr>
        <w:t>Making the risk quantitative and explainable: The Fitness Score formula, ML prediction probability, and 8-layer AI analysis together give faculty both a number and a narrative — enabling evidence-based conversations with students and parents.</w:t>
      </w:r>
    </w:p>
    <w:p w14:paraId="1CE43099">
      <w:pPr>
        <w:pStyle w:val="16"/>
        <w:numPr>
          <w:ilvl w:val="0"/>
          <w:numId w:val="2"/>
        </w:numPr>
        <w:spacing w:before="60" w:after="60" w:line="270" w:lineRule="auto"/>
      </w:pPr>
      <w:r>
        <w:rPr>
          <w:rFonts w:ascii="Arial" w:hAnsi="Arial" w:eastAsia="Arial" w:cs="Arial"/>
          <w:color w:val="1A1A2E"/>
          <w:sz w:val="21"/>
          <w:szCs w:val="21"/>
        </w:rPr>
        <w:t>Scaling to an entire batch simultaneously: All 20–60 students in a batch are processed in milliseconds. Faculty see the full risk distribution before selecting individual students for counselling.</w:t>
      </w:r>
    </w:p>
    <w:p w14:paraId="51AA2D8C">
      <w:pPr>
        <w:pStyle w:val="16"/>
        <w:numPr>
          <w:ilvl w:val="0"/>
          <w:numId w:val="2"/>
        </w:numPr>
        <w:spacing w:before="60" w:after="60" w:line="270" w:lineRule="auto"/>
      </w:pPr>
      <w:r>
        <w:rPr>
          <w:rFonts w:ascii="Arial" w:hAnsi="Arial" w:eastAsia="Arial" w:cs="Arial"/>
          <w:color w:val="1A1A2E"/>
          <w:sz w:val="21"/>
          <w:szCs w:val="21"/>
        </w:rPr>
        <w:t>Empowering students directly: The student-facing portal gives each student their own fitness score, AI-generated analysis, and a personalised 4-week improvement plan — removing the information asymmetry that often keeps struggling students unaware of their own trajectory.</w:t>
      </w:r>
    </w:p>
    <w:p w14:paraId="14C3CC6F">
      <w:pPr>
        <w:pStyle w:val="16"/>
        <w:numPr>
          <w:ilvl w:val="0"/>
          <w:numId w:val="2"/>
        </w:numPr>
        <w:spacing w:before="60" w:after="60" w:line="270" w:lineRule="auto"/>
      </w:pPr>
      <w:r>
        <w:rPr>
          <w:rFonts w:ascii="Arial" w:hAnsi="Arial" w:eastAsia="Arial" w:cs="Arial"/>
          <w:color w:val="1A1A2E"/>
          <w:sz w:val="21"/>
          <w:szCs w:val="21"/>
        </w:rPr>
        <w:t>Operating entirely offline and without infrastructure cost: The single-file architecture requires no server, no database setup, and no IT procurement — making it deployable at any VTU-affiliated institution immediately.</w:t>
      </w:r>
    </w:p>
    <w:p w14:paraId="02C371A0">
      <w:pPr>
        <w:spacing w:before="0" w:after="80"/>
      </w:pPr>
    </w:p>
    <w:p w14:paraId="48528AA9">
      <w:pPr>
        <w:pStyle w:val="3"/>
        <w:spacing w:before="300" w:after="100"/>
      </w:pPr>
      <w:r>
        <w:rPr>
          <w:rFonts w:ascii="Arial" w:hAnsi="Arial" w:eastAsia="Arial" w:cs="Arial"/>
          <w:b/>
          <w:bCs/>
          <w:color w:val="1A56B0"/>
          <w:sz w:val="27"/>
          <w:szCs w:val="27"/>
        </w:rPr>
        <w:t xml:space="preserve">1.4 </w:t>
      </w:r>
      <w:r>
        <w:rPr>
          <w:rFonts w:hint="default" w:cs="Arial"/>
          <w:b/>
          <w:bCs/>
          <w:color w:val="1A56B0"/>
          <w:sz w:val="27"/>
          <w:szCs w:val="27"/>
          <w:lang w:val="en-US"/>
        </w:rPr>
        <w:t xml:space="preserve">Smart </w:t>
      </w:r>
      <w:r>
        <w:rPr>
          <w:rFonts w:ascii="Arial" w:hAnsi="Arial" w:eastAsia="Arial" w:cs="Arial"/>
          <w:b/>
          <w:bCs/>
          <w:color w:val="1A56B0"/>
          <w:sz w:val="27"/>
          <w:szCs w:val="27"/>
        </w:rPr>
        <w:t>Fit: Why ML and AI for This Problem</w:t>
      </w:r>
    </w:p>
    <w:p w14:paraId="31660E97">
      <w:pPr>
        <w:spacing w:before="80" w:after="80" w:line="290" w:lineRule="auto"/>
      </w:pPr>
      <w:r>
        <w:rPr>
          <w:rFonts w:ascii="Arial" w:hAnsi="Arial" w:eastAsia="Arial" w:cs="Arial"/>
          <w:color w:val="1A1A2E"/>
          <w:sz w:val="22"/>
          <w:szCs w:val="22"/>
        </w:rPr>
        <w:t>The use of Machine Learning and AI-based reasoning in SFM  is deliberate and contextually appropriate for the following reasons:</w:t>
      </w:r>
    </w:p>
    <w:p w14:paraId="665E44B0">
      <w:pPr>
        <w:spacing w:before="0" w:after="80"/>
      </w:pPr>
    </w:p>
    <w:p w14:paraId="17DCAEF8">
      <w:pPr>
        <w:pStyle w:val="16"/>
        <w:numPr>
          <w:ilvl w:val="0"/>
          <w:numId w:val="1"/>
        </w:numPr>
        <w:spacing w:before="50" w:after="50" w:line="270" w:lineRule="auto"/>
      </w:pPr>
      <w:r>
        <w:rPr>
          <w:rFonts w:ascii="Arial" w:hAnsi="Arial" w:eastAsia="Arial" w:cs="Arial"/>
          <w:color w:val="1A1A2E"/>
          <w:sz w:val="21"/>
          <w:szCs w:val="21"/>
        </w:rPr>
        <w:t>Non-linear risk: The relationship between attendance, CIE scores, lab performance, and final exam outcomes is not linear. A student with 74% attendance and 19/50 CIE has a categorically different risk profile from a student with 74% attendance and 38/50 CIE. Simple threshold rules cannot capture this interaction — a trained decision tree can.</w:t>
      </w:r>
    </w:p>
    <w:p w14:paraId="6DC6B288">
      <w:pPr>
        <w:pStyle w:val="16"/>
        <w:numPr>
          <w:ilvl w:val="0"/>
          <w:numId w:val="1"/>
        </w:numPr>
        <w:spacing w:before="50" w:after="50" w:line="270" w:lineRule="auto"/>
      </w:pPr>
      <w:r>
        <w:rPr>
          <w:rFonts w:ascii="Arial" w:hAnsi="Arial" w:eastAsia="Arial" w:cs="Arial"/>
          <w:color w:val="1A1A2E"/>
          <w:sz w:val="21"/>
          <w:szCs w:val="21"/>
        </w:rPr>
        <w:t>Historical pattern matching: Three years of VTU RAI cohort data (173 student-semester records) capture real outcome distributions. The ML model encodes these patterns, enabling predictions that reflect what actually happened to students with similar profiles — not assumptions.</w:t>
      </w:r>
    </w:p>
    <w:p w14:paraId="21306590">
      <w:pPr>
        <w:pStyle w:val="16"/>
        <w:numPr>
          <w:ilvl w:val="0"/>
          <w:numId w:val="1"/>
        </w:numPr>
        <w:spacing w:before="50" w:after="50" w:line="270" w:lineRule="auto"/>
      </w:pPr>
      <w:r>
        <w:rPr>
          <w:rFonts w:ascii="Arial" w:hAnsi="Arial" w:eastAsia="Arial" w:cs="Arial"/>
          <w:color w:val="1A1A2E"/>
          <w:sz w:val="21"/>
          <w:szCs w:val="21"/>
        </w:rPr>
        <w:t xml:space="preserve">Narrative generation at scale: Producing a meaningful, contextualised written analysis for each </w:t>
      </w:r>
      <w:r>
        <w:rPr>
          <w:rFonts w:hint="default" w:cs="Arial"/>
          <w:color w:val="1A1A2E"/>
          <w:sz w:val="21"/>
          <w:szCs w:val="21"/>
          <w:lang w:val="en-US"/>
        </w:rPr>
        <w:t xml:space="preserve">and every </w:t>
      </w:r>
      <w:r>
        <w:rPr>
          <w:rFonts w:ascii="Arial" w:hAnsi="Arial" w:eastAsia="Arial" w:cs="Arial"/>
          <w:color w:val="1A1A2E"/>
          <w:sz w:val="21"/>
          <w:szCs w:val="21"/>
        </w:rPr>
        <w:t>student is infeasible for one faculty member. The rule-based AI engine generates personalised paragraphs for each student in real time, based on their actual data values — creating the foundation for a faculty-student conversation that would otherwise not happen.</w:t>
      </w:r>
    </w:p>
    <w:p w14:paraId="423B5182">
      <w:pPr>
        <w:spacing w:before="0" w:after="80"/>
      </w:pPr>
    </w:p>
    <w:p w14:paraId="3C80A145">
      <w:r>
        <w:br w:type="page"/>
      </w:r>
    </w:p>
    <w:p w14:paraId="621C3E24">
      <w:pPr>
        <w:pStyle w:val="2"/>
        <w:spacing w:before="400" w:after="140"/>
        <w:rPr>
          <w:rFonts w:ascii="Arial" w:hAnsi="Arial" w:eastAsia="Arial" w:cs="Arial"/>
          <w:b/>
          <w:bCs/>
          <w:color w:val="0D3B7A"/>
          <w:sz w:val="34"/>
          <w:szCs w:val="34"/>
        </w:rPr>
      </w:pPr>
    </w:p>
    <w:p w14:paraId="27196DF2">
      <w:pPr>
        <w:pStyle w:val="2"/>
        <w:spacing w:before="400" w:after="140"/>
      </w:pPr>
      <w:r>
        <w:rPr>
          <w:rFonts w:ascii="Arial" w:hAnsi="Arial" w:eastAsia="Arial" w:cs="Arial"/>
          <w:b/>
          <w:bCs/>
          <w:color w:val="0D3B7A"/>
          <w:sz w:val="34"/>
          <w:szCs w:val="34"/>
        </w:rPr>
        <w:t>2. Training Data and Dataset</w:t>
      </w:r>
    </w:p>
    <w:p w14:paraId="36C5A002">
      <w:pPr>
        <w:pStyle w:val="3"/>
        <w:spacing w:before="300" w:after="100"/>
      </w:pPr>
      <w:r>
        <w:rPr>
          <w:rFonts w:ascii="Arial" w:hAnsi="Arial" w:eastAsia="Arial" w:cs="Arial"/>
          <w:b/>
          <w:bCs/>
          <w:color w:val="1A56B0"/>
          <w:sz w:val="27"/>
          <w:szCs w:val="27"/>
        </w:rPr>
        <w:t>2.1 Data Source</w:t>
      </w:r>
    </w:p>
    <w:p w14:paraId="06A85341">
      <w:pPr>
        <w:spacing w:before="80" w:after="80" w:line="290" w:lineRule="auto"/>
      </w:pPr>
      <w:r>
        <w:rPr>
          <w:rFonts w:ascii="Arial" w:hAnsi="Arial" w:eastAsia="Arial" w:cs="Arial"/>
          <w:color w:val="1A1A2E"/>
          <w:sz w:val="22"/>
          <w:szCs w:val="22"/>
        </w:rPr>
        <w:t xml:space="preserve">The ML model embedded in SFM  was trained on 173 student-semester records collected from three consecutive </w:t>
      </w:r>
      <w:r>
        <w:rPr>
          <w:rFonts w:hint="default" w:cs="Arial"/>
          <w:color w:val="1A1A2E"/>
          <w:sz w:val="22"/>
          <w:szCs w:val="22"/>
          <w:lang w:val="en-US"/>
        </w:rPr>
        <w:t>datasets</w:t>
      </w:r>
      <w:r>
        <w:rPr>
          <w:rFonts w:ascii="Arial" w:hAnsi="Arial" w:eastAsia="Arial" w:cs="Arial"/>
          <w:color w:val="1A1A2E"/>
          <w:sz w:val="22"/>
          <w:szCs w:val="22"/>
        </w:rPr>
        <w:t xml:space="preserve"> of the VTU B.E. Robotics and Artificial Intelligence (RAI) programme. The data covers semesters 3 through 8, representing the complete upper-division academic journey of a B.E. RAI student from foundational engineering to specialisation and capstone work.</w:t>
      </w:r>
    </w:p>
    <w:p w14:paraId="05974141">
      <w:pPr>
        <w:spacing w:before="0" w:after="80"/>
      </w:pPr>
    </w:p>
    <w:p w14:paraId="47F7E5A9">
      <w:pPr>
        <w:spacing w:before="80" w:after="80" w:line="290" w:lineRule="auto"/>
      </w:pPr>
      <w:r>
        <w:rPr>
          <w:rFonts w:ascii="Arial" w:hAnsi="Arial" w:eastAsia="Arial" w:cs="Arial"/>
          <w:color w:val="1A1A2E"/>
          <w:sz w:val="22"/>
          <w:szCs w:val="22"/>
        </w:rPr>
        <w:t>Each record in the training set corresponds to one student in one semester and contains the following features derived from the same schema used by the application at runtime:</w:t>
      </w:r>
    </w:p>
    <w:p w14:paraId="6FF6BEA4">
      <w:pPr>
        <w:spacing w:before="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200"/>
        <w:gridCol w:w="2000"/>
        <w:gridCol w:w="2226"/>
      </w:tblGrid>
      <w:tr w14:paraId="112D3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5CDD8" w:sz="0" w:space="0"/>
              <w:left w:val="single" w:color="C5CDD8" w:sz="0" w:space="0"/>
              <w:bottom w:val="single" w:color="C5CDD8" w:sz="0" w:space="0"/>
              <w:right w:val="single" w:color="C5CDD8" w:sz="0" w:space="0"/>
            </w:tcBorders>
            <w:shd w:val="clear" w:color="auto" w:fill="0D3B7A"/>
            <w:tcMar>
              <w:top w:w="100" w:type="dxa"/>
              <w:left w:w="140" w:type="dxa"/>
              <w:bottom w:w="100" w:type="dxa"/>
              <w:right w:w="140" w:type="dxa"/>
            </w:tcMar>
          </w:tcPr>
          <w:p w14:paraId="12FD1220">
            <w:r>
              <w:rPr>
                <w:rFonts w:ascii="Arial" w:hAnsi="Arial" w:eastAsia="Arial" w:cs="Arial"/>
                <w:b/>
                <w:bCs/>
                <w:color w:val="FFFFFF"/>
                <w:sz w:val="20"/>
                <w:szCs w:val="20"/>
              </w:rPr>
              <w:t>Feature</w:t>
            </w:r>
          </w:p>
        </w:tc>
        <w:tc>
          <w:tcPr>
            <w:tcW w:w="2200" w:type="dxa"/>
            <w:tcBorders>
              <w:top w:val="single" w:color="C5CDD8" w:sz="0" w:space="0"/>
              <w:left w:val="single" w:color="C5CDD8" w:sz="0" w:space="0"/>
              <w:bottom w:val="single" w:color="C5CDD8" w:sz="0" w:space="0"/>
              <w:right w:val="single" w:color="C5CDD8" w:sz="0" w:space="0"/>
            </w:tcBorders>
            <w:shd w:val="clear" w:color="auto" w:fill="0D3B7A"/>
            <w:tcMar>
              <w:top w:w="100" w:type="dxa"/>
              <w:left w:w="140" w:type="dxa"/>
              <w:bottom w:w="100" w:type="dxa"/>
              <w:right w:w="140" w:type="dxa"/>
            </w:tcMar>
          </w:tcPr>
          <w:p w14:paraId="486578CB">
            <w:r>
              <w:rPr>
                <w:rFonts w:ascii="Arial" w:hAnsi="Arial" w:eastAsia="Arial" w:cs="Arial"/>
                <w:b/>
                <w:bCs/>
                <w:color w:val="FFFFFF"/>
                <w:sz w:val="20"/>
                <w:szCs w:val="20"/>
              </w:rPr>
              <w:t>Raw Column</w:t>
            </w:r>
          </w:p>
        </w:tc>
        <w:tc>
          <w:tcPr>
            <w:tcW w:w="2000" w:type="dxa"/>
            <w:tcBorders>
              <w:top w:val="single" w:color="C5CDD8" w:sz="0" w:space="0"/>
              <w:left w:val="single" w:color="C5CDD8" w:sz="0" w:space="0"/>
              <w:bottom w:val="single" w:color="C5CDD8" w:sz="0" w:space="0"/>
              <w:right w:val="single" w:color="C5CDD8" w:sz="0" w:space="0"/>
            </w:tcBorders>
            <w:shd w:val="clear" w:color="auto" w:fill="0D3B7A"/>
            <w:tcMar>
              <w:top w:w="100" w:type="dxa"/>
              <w:left w:w="140" w:type="dxa"/>
              <w:bottom w:w="100" w:type="dxa"/>
              <w:right w:w="140" w:type="dxa"/>
            </w:tcMar>
          </w:tcPr>
          <w:p w14:paraId="58D4E8FB">
            <w:r>
              <w:rPr>
                <w:rFonts w:ascii="Arial" w:hAnsi="Arial" w:eastAsia="Arial" w:cs="Arial"/>
                <w:b/>
                <w:bCs/>
                <w:color w:val="FFFFFF"/>
                <w:sz w:val="20"/>
                <w:szCs w:val="20"/>
              </w:rPr>
              <w:t>Range</w:t>
            </w:r>
          </w:p>
        </w:tc>
        <w:tc>
          <w:tcPr>
            <w:tcW w:w="2226" w:type="dxa"/>
            <w:tcBorders>
              <w:top w:val="single" w:color="C5CDD8" w:sz="0" w:space="0"/>
              <w:left w:val="single" w:color="C5CDD8" w:sz="0" w:space="0"/>
              <w:bottom w:val="single" w:color="C5CDD8" w:sz="0" w:space="0"/>
              <w:right w:val="single" w:color="C5CDD8" w:sz="0" w:space="0"/>
            </w:tcBorders>
            <w:shd w:val="clear" w:color="auto" w:fill="0D3B7A"/>
            <w:tcMar>
              <w:top w:w="100" w:type="dxa"/>
              <w:left w:w="140" w:type="dxa"/>
              <w:bottom w:w="100" w:type="dxa"/>
              <w:right w:w="140" w:type="dxa"/>
            </w:tcMar>
          </w:tcPr>
          <w:p w14:paraId="7FCCB86E">
            <w:r>
              <w:rPr>
                <w:rFonts w:ascii="Arial" w:hAnsi="Arial" w:eastAsia="Arial" w:cs="Arial"/>
                <w:b/>
                <w:bCs/>
                <w:color w:val="FFFFFF"/>
                <w:sz w:val="20"/>
                <w:szCs w:val="20"/>
              </w:rPr>
              <w:t>Training Role</w:t>
            </w:r>
          </w:p>
        </w:tc>
      </w:tr>
      <w:tr w14:paraId="7A500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59E8A6A0">
            <w:r>
              <w:rPr>
                <w:rFonts w:ascii="Arial" w:hAnsi="Arial" w:eastAsia="Arial" w:cs="Arial"/>
                <w:b/>
                <w:bCs/>
                <w:color w:val="1A1A2E"/>
                <w:sz w:val="20"/>
                <w:szCs w:val="20"/>
              </w:rPr>
              <w:t>Attendance %</w:t>
            </w:r>
          </w:p>
        </w:tc>
        <w:tc>
          <w:tcPr>
            <w:tcW w:w="22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34FED848">
            <w:r>
              <w:rPr>
                <w:rFonts w:ascii="Arial" w:hAnsi="Arial" w:eastAsia="Arial" w:cs="Arial"/>
                <w:b w:val="0"/>
                <w:bCs w:val="0"/>
                <w:color w:val="1A1A2E"/>
                <w:sz w:val="20"/>
                <w:szCs w:val="20"/>
              </w:rPr>
              <w:t>attendance_pct</w:t>
            </w:r>
          </w:p>
        </w:tc>
        <w:tc>
          <w:tcPr>
            <w:tcW w:w="20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65EB57B8">
            <w:r>
              <w:rPr>
                <w:rFonts w:ascii="Arial" w:hAnsi="Arial" w:eastAsia="Arial" w:cs="Arial"/>
                <w:b w:val="0"/>
                <w:bCs w:val="0"/>
                <w:color w:val="1A1A2E"/>
                <w:sz w:val="20"/>
                <w:szCs w:val="20"/>
              </w:rPr>
              <w:t>0–100</w:t>
            </w:r>
          </w:p>
        </w:tc>
        <w:tc>
          <w:tcPr>
            <w:tcW w:w="2226"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73D41B4D">
            <w:r>
              <w:rPr>
                <w:rFonts w:ascii="Arial" w:hAnsi="Arial" w:eastAsia="Arial" w:cs="Arial"/>
                <w:b w:val="0"/>
                <w:bCs w:val="0"/>
                <w:color w:val="1A1A2E"/>
                <w:sz w:val="20"/>
                <w:szCs w:val="20"/>
              </w:rPr>
              <w:t>Primary predictor — highest importance</w:t>
            </w:r>
          </w:p>
        </w:tc>
      </w:tr>
      <w:tr w14:paraId="08AE0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3DA7CE57">
            <w:r>
              <w:rPr>
                <w:rFonts w:ascii="Arial" w:hAnsi="Arial" w:eastAsia="Arial" w:cs="Arial"/>
                <w:b/>
                <w:bCs/>
                <w:color w:val="1A1A2E"/>
                <w:sz w:val="20"/>
                <w:szCs w:val="20"/>
              </w:rPr>
              <w:t>Lab Exam Score</w:t>
            </w:r>
          </w:p>
        </w:tc>
        <w:tc>
          <w:tcPr>
            <w:tcW w:w="22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17396292">
            <w:r>
              <w:rPr>
                <w:rFonts w:ascii="Arial" w:hAnsi="Arial" w:eastAsia="Arial" w:cs="Arial"/>
                <w:b w:val="0"/>
                <w:bCs w:val="0"/>
                <w:color w:val="1A1A2E"/>
                <w:sz w:val="20"/>
                <w:szCs w:val="20"/>
              </w:rPr>
              <w:t>lab_exam_score</w:t>
            </w:r>
          </w:p>
        </w:tc>
        <w:tc>
          <w:tcPr>
            <w:tcW w:w="20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051A8491">
            <w:r>
              <w:rPr>
                <w:rFonts w:ascii="Arial" w:hAnsi="Arial" w:eastAsia="Arial" w:cs="Arial"/>
                <w:b w:val="0"/>
                <w:bCs w:val="0"/>
                <w:color w:val="1A1A2E"/>
                <w:sz w:val="20"/>
                <w:szCs w:val="20"/>
              </w:rPr>
              <w:t>0–50</w:t>
            </w:r>
          </w:p>
        </w:tc>
        <w:tc>
          <w:tcPr>
            <w:tcW w:w="2226"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0DC04618">
            <w:r>
              <w:rPr>
                <w:rFonts w:ascii="Arial" w:hAnsi="Arial" w:eastAsia="Arial" w:cs="Arial"/>
                <w:b w:val="0"/>
                <w:bCs w:val="0"/>
                <w:color w:val="1A1A2E"/>
                <w:sz w:val="20"/>
                <w:szCs w:val="20"/>
              </w:rPr>
              <w:t>Secondary predictor</w:t>
            </w:r>
          </w:p>
        </w:tc>
      </w:tr>
      <w:tr w14:paraId="02711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4221CE87">
            <w:r>
              <w:rPr>
                <w:rFonts w:ascii="Arial" w:hAnsi="Arial" w:eastAsia="Arial" w:cs="Arial"/>
                <w:b/>
                <w:bCs/>
                <w:color w:val="1A1A2E"/>
                <w:sz w:val="20"/>
                <w:szCs w:val="20"/>
              </w:rPr>
              <w:t>CIE-2 Score</w:t>
            </w:r>
          </w:p>
        </w:tc>
        <w:tc>
          <w:tcPr>
            <w:tcW w:w="22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772B8C26">
            <w:r>
              <w:rPr>
                <w:rFonts w:ascii="Arial" w:hAnsi="Arial" w:eastAsia="Arial" w:cs="Arial"/>
                <w:b w:val="0"/>
                <w:bCs w:val="0"/>
                <w:color w:val="1A1A2E"/>
                <w:sz w:val="20"/>
                <w:szCs w:val="20"/>
              </w:rPr>
              <w:t>cie2_score</w:t>
            </w:r>
          </w:p>
        </w:tc>
        <w:tc>
          <w:tcPr>
            <w:tcW w:w="20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694CF813">
            <w:r>
              <w:rPr>
                <w:rFonts w:ascii="Arial" w:hAnsi="Arial" w:eastAsia="Arial" w:cs="Arial"/>
                <w:b w:val="0"/>
                <w:bCs w:val="0"/>
                <w:color w:val="1A1A2E"/>
                <w:sz w:val="20"/>
                <w:szCs w:val="20"/>
              </w:rPr>
              <w:t>0–50</w:t>
            </w:r>
          </w:p>
        </w:tc>
        <w:tc>
          <w:tcPr>
            <w:tcW w:w="2226"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23C11C4C">
            <w:r>
              <w:rPr>
                <w:rFonts w:ascii="Arial" w:hAnsi="Arial" w:eastAsia="Arial" w:cs="Arial"/>
                <w:b w:val="0"/>
                <w:bCs w:val="0"/>
                <w:color w:val="1A1A2E"/>
                <w:sz w:val="20"/>
                <w:szCs w:val="20"/>
              </w:rPr>
              <w:t>Secondary predictor</w:t>
            </w:r>
          </w:p>
        </w:tc>
      </w:tr>
      <w:tr w14:paraId="26C8D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0E426D7C">
            <w:r>
              <w:rPr>
                <w:rFonts w:ascii="Arial" w:hAnsi="Arial" w:eastAsia="Arial" w:cs="Arial"/>
                <w:b/>
                <w:bCs/>
                <w:color w:val="1A1A2E"/>
                <w:sz w:val="20"/>
                <w:szCs w:val="20"/>
              </w:rPr>
              <w:t>CIE-1 Score</w:t>
            </w:r>
          </w:p>
        </w:tc>
        <w:tc>
          <w:tcPr>
            <w:tcW w:w="22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4B2536BA">
            <w:r>
              <w:rPr>
                <w:rFonts w:ascii="Arial" w:hAnsi="Arial" w:eastAsia="Arial" w:cs="Arial"/>
                <w:b w:val="0"/>
                <w:bCs w:val="0"/>
                <w:color w:val="1A1A2E"/>
                <w:sz w:val="20"/>
                <w:szCs w:val="20"/>
              </w:rPr>
              <w:t>cie1_score</w:t>
            </w:r>
          </w:p>
        </w:tc>
        <w:tc>
          <w:tcPr>
            <w:tcW w:w="20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1BC42E03">
            <w:r>
              <w:rPr>
                <w:rFonts w:ascii="Arial" w:hAnsi="Arial" w:eastAsia="Arial" w:cs="Arial"/>
                <w:b w:val="0"/>
                <w:bCs w:val="0"/>
                <w:color w:val="1A1A2E"/>
                <w:sz w:val="20"/>
                <w:szCs w:val="20"/>
              </w:rPr>
              <w:t>0–50</w:t>
            </w:r>
          </w:p>
        </w:tc>
        <w:tc>
          <w:tcPr>
            <w:tcW w:w="2226"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0436EC87">
            <w:r>
              <w:rPr>
                <w:rFonts w:ascii="Arial" w:hAnsi="Arial" w:eastAsia="Arial" w:cs="Arial"/>
                <w:b w:val="0"/>
                <w:bCs w:val="0"/>
                <w:color w:val="1A1A2E"/>
                <w:sz w:val="20"/>
                <w:szCs w:val="20"/>
              </w:rPr>
              <w:t>Secondary predictor</w:t>
            </w:r>
          </w:p>
        </w:tc>
      </w:tr>
      <w:tr w14:paraId="4DB4B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2FC1A6E5">
            <w:r>
              <w:rPr>
                <w:rFonts w:ascii="Arial" w:hAnsi="Arial" w:eastAsia="Arial" w:cs="Arial"/>
                <w:b/>
                <w:bCs/>
                <w:color w:val="1A1A2E"/>
                <w:sz w:val="20"/>
                <w:szCs w:val="20"/>
              </w:rPr>
              <w:t>Assignment Score</w:t>
            </w:r>
          </w:p>
        </w:tc>
        <w:tc>
          <w:tcPr>
            <w:tcW w:w="22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5328E05A">
            <w:r>
              <w:rPr>
                <w:rFonts w:ascii="Arial" w:hAnsi="Arial" w:eastAsia="Arial" w:cs="Arial"/>
                <w:b w:val="0"/>
                <w:bCs w:val="0"/>
                <w:color w:val="1A1A2E"/>
                <w:sz w:val="20"/>
                <w:szCs w:val="20"/>
              </w:rPr>
              <w:t>assignment_score</w:t>
            </w:r>
          </w:p>
        </w:tc>
        <w:tc>
          <w:tcPr>
            <w:tcW w:w="20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040B2CD2">
            <w:r>
              <w:rPr>
                <w:rFonts w:ascii="Arial" w:hAnsi="Arial" w:eastAsia="Arial" w:cs="Arial"/>
                <w:b w:val="0"/>
                <w:bCs w:val="0"/>
                <w:color w:val="1A1A2E"/>
                <w:sz w:val="20"/>
                <w:szCs w:val="20"/>
              </w:rPr>
              <w:t>0–20</w:t>
            </w:r>
          </w:p>
        </w:tc>
        <w:tc>
          <w:tcPr>
            <w:tcW w:w="2226"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27CEA9AD">
            <w:r>
              <w:rPr>
                <w:rFonts w:ascii="Arial" w:hAnsi="Arial" w:eastAsia="Arial" w:cs="Arial"/>
                <w:b w:val="0"/>
                <w:bCs w:val="0"/>
                <w:color w:val="1A1A2E"/>
                <w:sz w:val="20"/>
                <w:szCs w:val="20"/>
              </w:rPr>
              <w:t>Tertiary predictor</w:t>
            </w:r>
          </w:p>
        </w:tc>
      </w:tr>
      <w:tr w14:paraId="2988C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7B46E9B6">
            <w:r>
              <w:rPr>
                <w:rFonts w:ascii="Arial" w:hAnsi="Arial" w:eastAsia="Arial" w:cs="Arial"/>
                <w:b/>
                <w:bCs/>
                <w:color w:val="1A1A2E"/>
                <w:sz w:val="20"/>
                <w:szCs w:val="20"/>
              </w:rPr>
              <w:t>Viva Score</w:t>
            </w:r>
          </w:p>
        </w:tc>
        <w:tc>
          <w:tcPr>
            <w:tcW w:w="22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7EAF9E64">
            <w:r>
              <w:rPr>
                <w:rFonts w:ascii="Arial" w:hAnsi="Arial" w:eastAsia="Arial" w:cs="Arial"/>
                <w:b w:val="0"/>
                <w:bCs w:val="0"/>
                <w:color w:val="1A1A2E"/>
                <w:sz w:val="20"/>
                <w:szCs w:val="20"/>
              </w:rPr>
              <w:t>viva_score</w:t>
            </w:r>
          </w:p>
        </w:tc>
        <w:tc>
          <w:tcPr>
            <w:tcW w:w="20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79C45C3B">
            <w:r>
              <w:rPr>
                <w:rFonts w:ascii="Arial" w:hAnsi="Arial" w:eastAsia="Arial" w:cs="Arial"/>
                <w:b w:val="0"/>
                <w:bCs w:val="0"/>
                <w:color w:val="1A1A2E"/>
                <w:sz w:val="20"/>
                <w:szCs w:val="20"/>
              </w:rPr>
              <w:t>0–20</w:t>
            </w:r>
          </w:p>
        </w:tc>
        <w:tc>
          <w:tcPr>
            <w:tcW w:w="2226"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447683C1">
            <w:r>
              <w:rPr>
                <w:rFonts w:ascii="Arial" w:hAnsi="Arial" w:eastAsia="Arial" w:cs="Arial"/>
                <w:b w:val="0"/>
                <w:bCs w:val="0"/>
                <w:color w:val="1A1A2E"/>
                <w:sz w:val="20"/>
                <w:szCs w:val="20"/>
              </w:rPr>
              <w:t>Tertiary predictor</w:t>
            </w:r>
          </w:p>
        </w:tc>
      </w:tr>
      <w:tr w14:paraId="282FD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323E88BD">
            <w:r>
              <w:rPr>
                <w:rFonts w:ascii="Arial" w:hAnsi="Arial" w:eastAsia="Arial" w:cs="Arial"/>
                <w:b/>
                <w:bCs/>
                <w:color w:val="1A1A2E"/>
                <w:sz w:val="20"/>
                <w:szCs w:val="20"/>
              </w:rPr>
              <w:t>Outcome Label</w:t>
            </w:r>
          </w:p>
        </w:tc>
        <w:tc>
          <w:tcPr>
            <w:tcW w:w="22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194E51D7">
            <w:r>
              <w:rPr>
                <w:rFonts w:ascii="Arial" w:hAnsi="Arial" w:eastAsia="Arial" w:cs="Arial"/>
                <w:b w:val="0"/>
                <w:bCs w:val="0"/>
                <w:color w:val="1A1A2E"/>
                <w:sz w:val="20"/>
                <w:szCs w:val="20"/>
              </w:rPr>
              <w:t>(derived)</w:t>
            </w:r>
          </w:p>
        </w:tc>
        <w:tc>
          <w:tcPr>
            <w:tcW w:w="20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0FE45F76">
            <w:r>
              <w:rPr>
                <w:rFonts w:ascii="Arial" w:hAnsi="Arial" w:eastAsia="Arial" w:cs="Arial"/>
                <w:b w:val="0"/>
                <w:bCs w:val="0"/>
                <w:color w:val="1A1A2E"/>
                <w:sz w:val="20"/>
                <w:szCs w:val="20"/>
              </w:rPr>
              <w:t>PASS / AT RISK / FAIL</w:t>
            </w:r>
          </w:p>
        </w:tc>
        <w:tc>
          <w:tcPr>
            <w:tcW w:w="2226"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108257CE">
            <w:r>
              <w:rPr>
                <w:rFonts w:ascii="Arial" w:hAnsi="Arial" w:eastAsia="Arial" w:cs="Arial"/>
                <w:b w:val="0"/>
                <w:bCs w:val="0"/>
                <w:color w:val="1A1A2E"/>
                <w:sz w:val="20"/>
                <w:szCs w:val="20"/>
              </w:rPr>
              <w:t>Target variable</w:t>
            </w:r>
          </w:p>
        </w:tc>
      </w:tr>
    </w:tbl>
    <w:p w14:paraId="57101748">
      <w:pPr>
        <w:spacing w:before="0" w:after="80"/>
      </w:pPr>
    </w:p>
    <w:p w14:paraId="18B22498">
      <w:pPr>
        <w:pStyle w:val="3"/>
        <w:spacing w:before="300" w:after="100"/>
      </w:pPr>
      <w:r>
        <w:rPr>
          <w:rFonts w:ascii="Arial" w:hAnsi="Arial" w:eastAsia="Arial" w:cs="Arial"/>
          <w:b/>
          <w:bCs/>
          <w:color w:val="1A56B0"/>
          <w:sz w:val="27"/>
          <w:szCs w:val="27"/>
        </w:rPr>
        <w:t>2.2 Target Variable Derivation</w:t>
      </w:r>
    </w:p>
    <w:p w14:paraId="00811695">
      <w:pPr>
        <w:spacing w:before="80" w:after="80" w:line="290" w:lineRule="auto"/>
      </w:pPr>
      <w:r>
        <w:rPr>
          <w:rFonts w:ascii="Arial" w:hAnsi="Arial" w:eastAsia="Arial" w:cs="Arial"/>
          <w:color w:val="1A1A2E"/>
          <w:sz w:val="22"/>
          <w:szCs w:val="22"/>
        </w:rPr>
        <w:t>The outcome label (PASS / AT RISK / FAIL) for each training record was derived from the student's actual semester result, combined with the following VTU-specific rules that define failure conditions:</w:t>
      </w:r>
    </w:p>
    <w:p w14:paraId="4E84EA9F">
      <w:pPr>
        <w:spacing w:before="0" w:after="80"/>
      </w:pPr>
    </w:p>
    <w:p w14:paraId="4823199E">
      <w:pPr>
        <w:pStyle w:val="16"/>
        <w:numPr>
          <w:ilvl w:val="0"/>
          <w:numId w:val="1"/>
        </w:numPr>
        <w:spacing w:before="50" w:after="50" w:line="270" w:lineRule="auto"/>
      </w:pPr>
      <w:r>
        <w:rPr>
          <w:rFonts w:ascii="Arial" w:hAnsi="Arial" w:eastAsia="Arial" w:cs="Arial"/>
          <w:color w:val="1A1A2E"/>
          <w:sz w:val="21"/>
          <w:szCs w:val="21"/>
        </w:rPr>
        <w:t>FAIL: Student failed one or more subjects in the semester (either below 40% internal marks or absent for SEE or below aggregate passing threshold). Also assigned when attendance was below 65% with no condonation, regardless of marks.</w:t>
      </w:r>
    </w:p>
    <w:p w14:paraId="39331F4E">
      <w:pPr>
        <w:pStyle w:val="16"/>
        <w:numPr>
          <w:ilvl w:val="0"/>
          <w:numId w:val="1"/>
        </w:numPr>
        <w:spacing w:before="50" w:after="50" w:line="270" w:lineRule="auto"/>
      </w:pPr>
      <w:r>
        <w:rPr>
          <w:rFonts w:ascii="Arial" w:hAnsi="Arial" w:eastAsia="Arial" w:cs="Arial"/>
          <w:color w:val="1A1A2E"/>
          <w:sz w:val="21"/>
          <w:szCs w:val="21"/>
        </w:rPr>
        <w:t>AT RISK: Student passed all subjects but with one or more subjects in the 40–50% marginal range, or attendance between 65–74% with a formal condonation application.</w:t>
      </w:r>
    </w:p>
    <w:p w14:paraId="44C1B3FA">
      <w:pPr>
        <w:pStyle w:val="16"/>
        <w:numPr>
          <w:ilvl w:val="0"/>
          <w:numId w:val="1"/>
        </w:numPr>
        <w:spacing w:before="50" w:after="50" w:line="270" w:lineRule="auto"/>
      </w:pPr>
      <w:r>
        <w:rPr>
          <w:rFonts w:ascii="Arial" w:hAnsi="Arial" w:eastAsia="Arial" w:cs="Arial"/>
          <w:color w:val="1A1A2E"/>
          <w:sz w:val="21"/>
          <w:szCs w:val="21"/>
        </w:rPr>
        <w:t>PASS: Student cleared all subjects with aggregate scores above 50% and maintained attendance ≥75%.</w:t>
      </w:r>
    </w:p>
    <w:p w14:paraId="7D04AC89">
      <w:pPr>
        <w:spacing w:before="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F3BB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A56B0" w:sz="6" w:space="0"/>
              <w:left w:val="single" w:color="1A56B0" w:sz="16" w:space="0"/>
              <w:bottom w:val="single" w:color="1A56B0" w:sz="2" w:space="0"/>
              <w:right w:val="single" w:color="1A56B0" w:sz="2" w:space="0"/>
            </w:tcBorders>
            <w:shd w:val="clear" w:color="auto" w:fill="EEF2F7"/>
            <w:tcMar>
              <w:top w:w="100" w:type="dxa"/>
              <w:left w:w="180" w:type="dxa"/>
              <w:bottom w:w="100" w:type="dxa"/>
              <w:right w:w="140" w:type="dxa"/>
            </w:tcMar>
          </w:tcPr>
          <w:p w14:paraId="1D46D815">
            <w:pPr>
              <w:spacing w:before="0" w:after="60"/>
            </w:pPr>
            <w:r>
              <w:rPr>
                <w:rFonts w:ascii="Arial" w:hAnsi="Arial" w:eastAsia="Arial" w:cs="Arial"/>
                <w:b/>
                <w:bCs/>
                <w:color w:val="1A56B0"/>
                <w:sz w:val="21"/>
                <w:szCs w:val="21"/>
              </w:rPr>
              <w:t>📌  Note on Label Balance</w:t>
            </w:r>
          </w:p>
          <w:p w14:paraId="2F257118">
            <w:pPr>
              <w:spacing w:before="0" w:after="0"/>
            </w:pPr>
            <w:r>
              <w:rPr>
                <w:rFonts w:ascii="Arial" w:hAnsi="Arial" w:eastAsia="Arial" w:cs="Arial"/>
                <w:color w:val="1A1A2E"/>
                <w:sz w:val="20"/>
                <w:szCs w:val="20"/>
              </w:rPr>
              <w:t>The training set contains 41 FAIL records (23.7%), 52 AT RISK records (30.1%), and 80 PASS records (46.2%). This reflects the real distribution observed across three VTU RAI cohorts, making the model calibrated to actual programme outcomes rather than an artificially balanced dataset.</w:t>
            </w:r>
          </w:p>
        </w:tc>
      </w:tr>
    </w:tbl>
    <w:p w14:paraId="2E978902">
      <w:pPr>
        <w:spacing w:before="0" w:after="80"/>
      </w:pPr>
    </w:p>
    <w:p w14:paraId="172A0DB6">
      <w:pPr>
        <w:pStyle w:val="3"/>
        <w:spacing w:before="300" w:after="100"/>
        <w:rPr>
          <w:rFonts w:ascii="Arial" w:hAnsi="Arial" w:eastAsia="Arial" w:cs="Arial"/>
          <w:b/>
          <w:bCs/>
          <w:color w:val="1A56B0"/>
          <w:sz w:val="27"/>
          <w:szCs w:val="27"/>
        </w:rPr>
      </w:pPr>
    </w:p>
    <w:p w14:paraId="032643D9">
      <w:pPr>
        <w:pStyle w:val="3"/>
        <w:spacing w:before="300" w:after="100"/>
        <w:rPr>
          <w:rFonts w:ascii="Arial" w:hAnsi="Arial" w:eastAsia="Arial" w:cs="Arial"/>
          <w:b/>
          <w:bCs/>
          <w:color w:val="1A56B0"/>
          <w:sz w:val="27"/>
          <w:szCs w:val="27"/>
        </w:rPr>
      </w:pPr>
    </w:p>
    <w:p w14:paraId="688F1DAF">
      <w:pPr>
        <w:pStyle w:val="3"/>
        <w:spacing w:before="300" w:after="100"/>
      </w:pPr>
      <w:r>
        <w:rPr>
          <w:rFonts w:ascii="Arial" w:hAnsi="Arial" w:eastAsia="Arial" w:cs="Arial"/>
          <w:b/>
          <w:bCs/>
          <w:color w:val="1A56B0"/>
          <w:sz w:val="27"/>
          <w:szCs w:val="27"/>
        </w:rPr>
        <w:t>2.3 Preprocessing</w:t>
      </w:r>
    </w:p>
    <w:p w14:paraId="3F3D30A5">
      <w:pPr>
        <w:spacing w:before="80" w:after="80" w:line="290" w:lineRule="auto"/>
      </w:pPr>
      <w:r>
        <w:rPr>
          <w:rFonts w:ascii="Arial" w:hAnsi="Arial" w:eastAsia="Arial" w:cs="Arial"/>
          <w:color w:val="1A1A2E"/>
          <w:sz w:val="22"/>
          <w:szCs w:val="22"/>
        </w:rPr>
        <w:t>All features were averaged across subjects for a given student-semester record before training. This is the same aggregation procedure applied by the SFM  application at runtime (see the aggregateAll() function), ensuring training and inference operate on identical feature representations. No imputation was required as records with missing values were excluded from the training set.</w:t>
      </w:r>
    </w:p>
    <w:p w14:paraId="0A40AF1F">
      <w:pPr>
        <w:spacing w:before="0" w:after="80"/>
      </w:pPr>
    </w:p>
    <w:p w14:paraId="2669306C">
      <w:r>
        <w:br w:type="page"/>
      </w:r>
    </w:p>
    <w:p w14:paraId="4977DAF1">
      <w:pPr>
        <w:pStyle w:val="2"/>
        <w:spacing w:before="400" w:after="140"/>
        <w:rPr>
          <w:rFonts w:ascii="Arial" w:hAnsi="Arial" w:eastAsia="Arial" w:cs="Arial"/>
          <w:b/>
          <w:bCs/>
          <w:color w:val="0D3B7A"/>
          <w:sz w:val="34"/>
          <w:szCs w:val="34"/>
        </w:rPr>
      </w:pPr>
    </w:p>
    <w:p w14:paraId="33ADC41C">
      <w:pPr>
        <w:pStyle w:val="2"/>
        <w:spacing w:before="400" w:after="140"/>
        <w:rPr>
          <w:rFonts w:ascii="Arial" w:hAnsi="Arial" w:eastAsia="Arial" w:cs="Arial"/>
          <w:b/>
          <w:bCs/>
          <w:color w:val="0D3B7A"/>
          <w:sz w:val="34"/>
          <w:szCs w:val="34"/>
        </w:rPr>
      </w:pPr>
    </w:p>
    <w:p w14:paraId="74ECC6A3">
      <w:pPr>
        <w:pStyle w:val="2"/>
        <w:spacing w:before="400" w:after="140"/>
      </w:pPr>
      <w:r>
        <w:rPr>
          <w:rFonts w:ascii="Arial" w:hAnsi="Arial" w:eastAsia="Arial" w:cs="Arial"/>
          <w:b/>
          <w:bCs/>
          <w:color w:val="0D3B7A"/>
          <w:sz w:val="34"/>
          <w:szCs w:val="34"/>
        </w:rPr>
        <w:t>3. The Fitness Score — Composite Risk Metric</w:t>
      </w:r>
    </w:p>
    <w:p w14:paraId="24E2A526">
      <w:pPr>
        <w:pStyle w:val="3"/>
        <w:spacing w:before="300" w:after="100"/>
      </w:pPr>
      <w:r>
        <w:rPr>
          <w:rFonts w:ascii="Arial" w:hAnsi="Arial" w:eastAsia="Arial" w:cs="Arial"/>
          <w:b/>
          <w:bCs/>
          <w:color w:val="1A56B0"/>
          <w:sz w:val="27"/>
          <w:szCs w:val="27"/>
        </w:rPr>
        <w:t>3.1 Purpose</w:t>
      </w:r>
    </w:p>
    <w:p w14:paraId="0E215A5D">
      <w:pPr>
        <w:spacing w:before="80" w:after="80" w:line="290" w:lineRule="auto"/>
      </w:pPr>
      <w:r>
        <w:rPr>
          <w:rFonts w:ascii="Arial" w:hAnsi="Arial" w:eastAsia="Arial" w:cs="Arial"/>
          <w:color w:val="1A1A2E"/>
          <w:sz w:val="22"/>
          <w:szCs w:val="22"/>
        </w:rPr>
        <w:t>Before any ML model is applied, SFM  computes a deterministic Fitness Score (0–100) for each student. This score serves as both a human-readable risk gauge and the primary driver of the four-tier risk classification used throughout the interface. It is computed from the same six features used by the ML model, but using a fixed weighted formula rather than a learned tree structure.</w:t>
      </w:r>
    </w:p>
    <w:p w14:paraId="16512316">
      <w:pPr>
        <w:spacing w:before="0" w:after="80"/>
      </w:pPr>
    </w:p>
    <w:p w14:paraId="26A767FE">
      <w:pPr>
        <w:pStyle w:val="3"/>
        <w:spacing w:before="300" w:after="100"/>
      </w:pPr>
      <w:r>
        <w:rPr>
          <w:rFonts w:ascii="Arial" w:hAnsi="Arial" w:eastAsia="Arial" w:cs="Arial"/>
          <w:b/>
          <w:bCs/>
          <w:color w:val="1A56B0"/>
          <w:sz w:val="27"/>
          <w:szCs w:val="27"/>
        </w:rPr>
        <w:t>3.2 Formula</w:t>
      </w:r>
    </w:p>
    <w:p w14:paraId="63BBAE9C">
      <w:pPr>
        <w:spacing w:before="80" w:after="80" w:line="290" w:lineRule="auto"/>
      </w:pPr>
      <w:r>
        <w:rPr>
          <w:rFonts w:ascii="Arial" w:hAnsi="Arial" w:eastAsia="Arial" w:cs="Arial"/>
          <w:color w:val="1A1A2E"/>
          <w:sz w:val="22"/>
          <w:szCs w:val="22"/>
        </w:rPr>
        <w:t>The Fitness Score formula as implemented in the fitnessScore() function:</w:t>
      </w:r>
    </w:p>
    <w:p w14:paraId="2CC05C3A">
      <w:pPr>
        <w:spacing w:before="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572B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5803D" w:sz="6" w:space="0"/>
              <w:left w:val="single" w:color="15803D" w:sz="16" w:space="0"/>
              <w:bottom w:val="single" w:color="15803D" w:sz="2" w:space="0"/>
              <w:right w:val="single" w:color="15803D" w:sz="2" w:space="0"/>
            </w:tcBorders>
            <w:shd w:val="clear" w:color="auto" w:fill="F0FDF4"/>
            <w:tcMar>
              <w:top w:w="100" w:type="dxa"/>
              <w:left w:w="180" w:type="dxa"/>
              <w:bottom w:w="100" w:type="dxa"/>
              <w:right w:w="140" w:type="dxa"/>
            </w:tcMar>
          </w:tcPr>
          <w:p w14:paraId="1BD3DA0B">
            <w:pPr>
              <w:spacing w:before="0" w:after="60"/>
            </w:pPr>
            <w:r>
              <w:rPr>
                <w:rFonts w:ascii="Arial" w:hAnsi="Arial" w:eastAsia="Arial" w:cs="Arial"/>
                <w:b/>
                <w:bCs/>
                <w:color w:val="15803D"/>
                <w:sz w:val="21"/>
                <w:szCs w:val="21"/>
              </w:rPr>
              <w:t>Σ  Fitness Score Formula</w:t>
            </w:r>
          </w:p>
          <w:p w14:paraId="0D3E3AD6">
            <w:pPr>
              <w:spacing w:before="0" w:after="0"/>
            </w:pPr>
            <w:r>
              <w:rPr>
                <w:rFonts w:ascii="Arial" w:hAnsi="Arial" w:eastAsia="Arial" w:cs="Arial"/>
                <w:color w:val="1A1A2E"/>
                <w:sz w:val="20"/>
                <w:szCs w:val="20"/>
              </w:rPr>
              <w:t>Score = min(Attendance/85, 1)×30 + min(CIE_avg/40, 1)×30 + min(Assignment/16, 1)×15 + min(Lab/40, 1)×15 + min(Viva/16, 1)×10</w:t>
            </w:r>
          </w:p>
        </w:tc>
      </w:tr>
    </w:tbl>
    <w:p w14:paraId="14633BA7">
      <w:pPr>
        <w:spacing w:before="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33"/>
        <w:gridCol w:w="1352"/>
        <w:gridCol w:w="1614"/>
        <w:gridCol w:w="1362"/>
        <w:gridCol w:w="2365"/>
      </w:tblGrid>
      <w:tr w14:paraId="12924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5CDD8" w:sz="0" w:space="0"/>
              <w:left w:val="single" w:color="C5CDD8" w:sz="0" w:space="0"/>
              <w:bottom w:val="single" w:color="C5CDD8" w:sz="0" w:space="0"/>
              <w:right w:val="single" w:color="C5CDD8" w:sz="0" w:space="0"/>
            </w:tcBorders>
            <w:shd w:val="clear" w:color="auto" w:fill="0D3B7A"/>
            <w:tcMar>
              <w:top w:w="100" w:type="dxa"/>
              <w:left w:w="140" w:type="dxa"/>
              <w:bottom w:w="100" w:type="dxa"/>
              <w:right w:w="140" w:type="dxa"/>
            </w:tcMar>
          </w:tcPr>
          <w:p w14:paraId="04E2FD38">
            <w:r>
              <w:rPr>
                <w:rFonts w:ascii="Arial" w:hAnsi="Arial" w:eastAsia="Arial" w:cs="Arial"/>
                <w:b/>
                <w:bCs/>
                <w:color w:val="FFFFFF"/>
                <w:sz w:val="20"/>
                <w:szCs w:val="20"/>
              </w:rPr>
              <w:t>Component</w:t>
            </w:r>
          </w:p>
        </w:tc>
        <w:tc>
          <w:tcPr>
            <w:tcW w:w="1400" w:type="dxa"/>
            <w:tcBorders>
              <w:top w:val="single" w:color="C5CDD8" w:sz="0" w:space="0"/>
              <w:left w:val="single" w:color="C5CDD8" w:sz="0" w:space="0"/>
              <w:bottom w:val="single" w:color="C5CDD8" w:sz="0" w:space="0"/>
              <w:right w:val="single" w:color="C5CDD8" w:sz="0" w:space="0"/>
            </w:tcBorders>
            <w:shd w:val="clear" w:color="auto" w:fill="0D3B7A"/>
            <w:tcMar>
              <w:top w:w="100" w:type="dxa"/>
              <w:left w:w="140" w:type="dxa"/>
              <w:bottom w:w="100" w:type="dxa"/>
              <w:right w:w="140" w:type="dxa"/>
            </w:tcMar>
          </w:tcPr>
          <w:p w14:paraId="11727C9E">
            <w:r>
              <w:rPr>
                <w:rFonts w:ascii="Arial" w:hAnsi="Arial" w:eastAsia="Arial" w:cs="Arial"/>
                <w:b/>
                <w:bCs/>
                <w:color w:val="FFFFFF"/>
                <w:sz w:val="20"/>
                <w:szCs w:val="20"/>
              </w:rPr>
              <w:t>Raw Max</w:t>
            </w:r>
          </w:p>
        </w:tc>
        <w:tc>
          <w:tcPr>
            <w:tcW w:w="1400" w:type="dxa"/>
            <w:tcBorders>
              <w:top w:val="single" w:color="C5CDD8" w:sz="0" w:space="0"/>
              <w:left w:val="single" w:color="C5CDD8" w:sz="0" w:space="0"/>
              <w:bottom w:val="single" w:color="C5CDD8" w:sz="0" w:space="0"/>
              <w:right w:val="single" w:color="C5CDD8" w:sz="0" w:space="0"/>
            </w:tcBorders>
            <w:shd w:val="clear" w:color="auto" w:fill="0D3B7A"/>
            <w:tcMar>
              <w:top w:w="100" w:type="dxa"/>
              <w:left w:w="140" w:type="dxa"/>
              <w:bottom w:w="100" w:type="dxa"/>
              <w:right w:w="140" w:type="dxa"/>
            </w:tcMar>
          </w:tcPr>
          <w:p w14:paraId="595125EE">
            <w:r>
              <w:rPr>
                <w:rFonts w:ascii="Arial" w:hAnsi="Arial" w:eastAsia="Arial" w:cs="Arial"/>
                <w:b/>
                <w:bCs/>
                <w:color w:val="FFFFFF"/>
                <w:sz w:val="20"/>
                <w:szCs w:val="20"/>
              </w:rPr>
              <w:t>Normalisation Cap</w:t>
            </w:r>
          </w:p>
        </w:tc>
        <w:tc>
          <w:tcPr>
            <w:tcW w:w="1400" w:type="dxa"/>
            <w:tcBorders>
              <w:top w:val="single" w:color="C5CDD8" w:sz="0" w:space="0"/>
              <w:left w:val="single" w:color="C5CDD8" w:sz="0" w:space="0"/>
              <w:bottom w:val="single" w:color="C5CDD8" w:sz="0" w:space="0"/>
              <w:right w:val="single" w:color="C5CDD8" w:sz="0" w:space="0"/>
            </w:tcBorders>
            <w:shd w:val="clear" w:color="auto" w:fill="0D3B7A"/>
            <w:tcMar>
              <w:top w:w="100" w:type="dxa"/>
              <w:left w:w="140" w:type="dxa"/>
              <w:bottom w:w="100" w:type="dxa"/>
              <w:right w:w="140" w:type="dxa"/>
            </w:tcMar>
          </w:tcPr>
          <w:p w14:paraId="4D97C30C">
            <w:r>
              <w:rPr>
                <w:rFonts w:ascii="Arial" w:hAnsi="Arial" w:eastAsia="Arial" w:cs="Arial"/>
                <w:b/>
                <w:bCs/>
                <w:color w:val="FFFFFF"/>
                <w:sz w:val="20"/>
                <w:szCs w:val="20"/>
              </w:rPr>
              <w:t>Weight</w:t>
            </w:r>
          </w:p>
        </w:tc>
        <w:tc>
          <w:tcPr>
            <w:tcW w:w="2426" w:type="dxa"/>
            <w:tcBorders>
              <w:top w:val="single" w:color="C5CDD8" w:sz="0" w:space="0"/>
              <w:left w:val="single" w:color="C5CDD8" w:sz="0" w:space="0"/>
              <w:bottom w:val="single" w:color="C5CDD8" w:sz="0" w:space="0"/>
              <w:right w:val="single" w:color="C5CDD8" w:sz="0" w:space="0"/>
            </w:tcBorders>
            <w:shd w:val="clear" w:color="auto" w:fill="0D3B7A"/>
            <w:tcMar>
              <w:top w:w="100" w:type="dxa"/>
              <w:left w:w="140" w:type="dxa"/>
              <w:bottom w:w="100" w:type="dxa"/>
              <w:right w:w="140" w:type="dxa"/>
            </w:tcMar>
          </w:tcPr>
          <w:p w14:paraId="40B3C9E8">
            <w:r>
              <w:rPr>
                <w:rFonts w:ascii="Arial" w:hAnsi="Arial" w:eastAsia="Arial" w:cs="Arial"/>
                <w:b/>
                <w:bCs/>
                <w:color w:val="FFFFFF"/>
                <w:sz w:val="20"/>
                <w:szCs w:val="20"/>
              </w:rPr>
              <w:t>Rationale</w:t>
            </w:r>
          </w:p>
        </w:tc>
      </w:tr>
      <w:tr w14:paraId="28194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6F135E4D">
            <w:r>
              <w:rPr>
                <w:rFonts w:ascii="Arial" w:hAnsi="Arial" w:eastAsia="Arial" w:cs="Arial"/>
                <w:b/>
                <w:bCs/>
                <w:color w:val="1A1A2E"/>
                <w:sz w:val="20"/>
                <w:szCs w:val="20"/>
              </w:rPr>
              <w:t>Attendance %</w:t>
            </w:r>
          </w:p>
        </w:tc>
        <w:tc>
          <w:tcPr>
            <w:tcW w:w="14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4DB839DC">
            <w:r>
              <w:rPr>
                <w:rFonts w:ascii="Arial" w:hAnsi="Arial" w:eastAsia="Arial" w:cs="Arial"/>
                <w:b w:val="0"/>
                <w:bCs w:val="0"/>
                <w:color w:val="1A1A2E"/>
                <w:sz w:val="20"/>
                <w:szCs w:val="20"/>
              </w:rPr>
              <w:t>100%</w:t>
            </w:r>
          </w:p>
        </w:tc>
        <w:tc>
          <w:tcPr>
            <w:tcW w:w="14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1D55C3E3">
            <w:r>
              <w:rPr>
                <w:rFonts w:ascii="Arial" w:hAnsi="Arial" w:eastAsia="Arial" w:cs="Arial"/>
                <w:b w:val="0"/>
                <w:bCs w:val="0"/>
                <w:color w:val="1A1A2E"/>
                <w:sz w:val="20"/>
                <w:szCs w:val="20"/>
              </w:rPr>
              <w:t>85% (cap at 1×)</w:t>
            </w:r>
          </w:p>
        </w:tc>
        <w:tc>
          <w:tcPr>
            <w:tcW w:w="14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7E3FB6A7">
            <w:r>
              <w:rPr>
                <w:rFonts w:ascii="Arial" w:hAnsi="Arial" w:eastAsia="Arial" w:cs="Arial"/>
                <w:b/>
                <w:bCs/>
                <w:color w:val="1A1A2E"/>
                <w:sz w:val="20"/>
                <w:szCs w:val="20"/>
              </w:rPr>
              <w:t>30</w:t>
            </w:r>
          </w:p>
        </w:tc>
        <w:tc>
          <w:tcPr>
            <w:tcW w:w="2426"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09609C41">
            <w:r>
              <w:rPr>
                <w:rFonts w:ascii="Arial" w:hAnsi="Arial" w:eastAsia="Arial" w:cs="Arial"/>
                <w:b w:val="0"/>
                <w:bCs w:val="0"/>
                <w:color w:val="1A1A2E"/>
                <w:sz w:val="20"/>
                <w:szCs w:val="20"/>
              </w:rPr>
              <w:t>Attendance is the strongest predictor of both CIE and SEE performance. Capped at 85% so that diminishing returns above that level do not over-reward.</w:t>
            </w:r>
          </w:p>
        </w:tc>
      </w:tr>
      <w:tr w14:paraId="67678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4C84507A">
            <w:r>
              <w:rPr>
                <w:rFonts w:ascii="Arial" w:hAnsi="Arial" w:eastAsia="Arial" w:cs="Arial"/>
                <w:b/>
                <w:bCs/>
                <w:color w:val="1A1A2E"/>
                <w:sz w:val="20"/>
                <w:szCs w:val="20"/>
              </w:rPr>
              <w:t>CIE Average (avg of CIE-1 &amp; CIE-2)</w:t>
            </w:r>
          </w:p>
        </w:tc>
        <w:tc>
          <w:tcPr>
            <w:tcW w:w="14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22B10CE9">
            <w:r>
              <w:rPr>
                <w:rFonts w:ascii="Arial" w:hAnsi="Arial" w:eastAsia="Arial" w:cs="Arial"/>
                <w:b w:val="0"/>
                <w:bCs w:val="0"/>
                <w:color w:val="1A1A2E"/>
                <w:sz w:val="20"/>
                <w:szCs w:val="20"/>
              </w:rPr>
              <w:t>50 marks</w:t>
            </w:r>
          </w:p>
        </w:tc>
        <w:tc>
          <w:tcPr>
            <w:tcW w:w="14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548AC5F0">
            <w:r>
              <w:rPr>
                <w:rFonts w:ascii="Arial" w:hAnsi="Arial" w:eastAsia="Arial" w:cs="Arial"/>
                <w:b w:val="0"/>
                <w:bCs w:val="0"/>
                <w:color w:val="1A1A2E"/>
                <w:sz w:val="20"/>
                <w:szCs w:val="20"/>
              </w:rPr>
              <w:t>40 marks (cap)</w:t>
            </w:r>
          </w:p>
        </w:tc>
        <w:tc>
          <w:tcPr>
            <w:tcW w:w="14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7BAD250C">
            <w:r>
              <w:rPr>
                <w:rFonts w:ascii="Arial" w:hAnsi="Arial" w:eastAsia="Arial" w:cs="Arial"/>
                <w:b/>
                <w:bCs/>
                <w:color w:val="1A1A2E"/>
                <w:sz w:val="20"/>
                <w:szCs w:val="20"/>
              </w:rPr>
              <w:t>30</w:t>
            </w:r>
          </w:p>
        </w:tc>
        <w:tc>
          <w:tcPr>
            <w:tcW w:w="2426"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4B6319BA">
            <w:r>
              <w:rPr>
                <w:rFonts w:ascii="Arial" w:hAnsi="Arial" w:eastAsia="Arial" w:cs="Arial"/>
                <w:b w:val="0"/>
                <w:bCs w:val="0"/>
                <w:color w:val="1A1A2E"/>
                <w:sz w:val="20"/>
                <w:szCs w:val="20"/>
              </w:rPr>
              <w:t>Internal assessment directly determines eligibility for internal pass (need ≥20/50). CIE correlates strongly with theoretical understanding.</w:t>
            </w:r>
          </w:p>
        </w:tc>
      </w:tr>
      <w:tr w14:paraId="7AB40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5DC336B8">
            <w:r>
              <w:rPr>
                <w:rFonts w:ascii="Arial" w:hAnsi="Arial" w:eastAsia="Arial" w:cs="Arial"/>
                <w:b/>
                <w:bCs/>
                <w:color w:val="1A1A2E"/>
                <w:sz w:val="20"/>
                <w:szCs w:val="20"/>
              </w:rPr>
              <w:t>Assignment Score</w:t>
            </w:r>
          </w:p>
        </w:tc>
        <w:tc>
          <w:tcPr>
            <w:tcW w:w="14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592FD2F0">
            <w:r>
              <w:rPr>
                <w:rFonts w:ascii="Arial" w:hAnsi="Arial" w:eastAsia="Arial" w:cs="Arial"/>
                <w:b w:val="0"/>
                <w:bCs w:val="0"/>
                <w:color w:val="1A1A2E"/>
                <w:sz w:val="20"/>
                <w:szCs w:val="20"/>
              </w:rPr>
              <w:t>20 marks</w:t>
            </w:r>
          </w:p>
        </w:tc>
        <w:tc>
          <w:tcPr>
            <w:tcW w:w="14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632F7042">
            <w:r>
              <w:rPr>
                <w:rFonts w:ascii="Arial" w:hAnsi="Arial" w:eastAsia="Arial" w:cs="Arial"/>
                <w:b w:val="0"/>
                <w:bCs w:val="0"/>
                <w:color w:val="1A1A2E"/>
                <w:sz w:val="20"/>
                <w:szCs w:val="20"/>
              </w:rPr>
              <w:t>16 marks (cap)</w:t>
            </w:r>
          </w:p>
        </w:tc>
        <w:tc>
          <w:tcPr>
            <w:tcW w:w="14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408AF4B5">
            <w:r>
              <w:rPr>
                <w:rFonts w:ascii="Arial" w:hAnsi="Arial" w:eastAsia="Arial" w:cs="Arial"/>
                <w:b/>
                <w:bCs/>
                <w:color w:val="1A1A2E"/>
                <w:sz w:val="20"/>
                <w:szCs w:val="20"/>
              </w:rPr>
              <w:t>15</w:t>
            </w:r>
          </w:p>
        </w:tc>
        <w:tc>
          <w:tcPr>
            <w:tcW w:w="2426"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38780D64">
            <w:r>
              <w:rPr>
                <w:rFonts w:ascii="Arial" w:hAnsi="Arial" w:eastAsia="Arial" w:cs="Arial"/>
                <w:b w:val="0"/>
                <w:bCs w:val="0"/>
                <w:color w:val="1A1A2E"/>
                <w:sz w:val="20"/>
                <w:szCs w:val="20"/>
              </w:rPr>
              <w:t>Assignments proxy for engagement and submission compliance — leading indicators of student disengagement.</w:t>
            </w:r>
          </w:p>
        </w:tc>
      </w:tr>
      <w:tr w14:paraId="71E40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25DCEB18">
            <w:r>
              <w:rPr>
                <w:rFonts w:ascii="Arial" w:hAnsi="Arial" w:eastAsia="Arial" w:cs="Arial"/>
                <w:b/>
                <w:bCs/>
                <w:color w:val="1A1A2E"/>
                <w:sz w:val="20"/>
                <w:szCs w:val="20"/>
              </w:rPr>
              <w:t>Lab Exam Score</w:t>
            </w:r>
          </w:p>
        </w:tc>
        <w:tc>
          <w:tcPr>
            <w:tcW w:w="14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1D0020E6">
            <w:r>
              <w:rPr>
                <w:rFonts w:ascii="Arial" w:hAnsi="Arial" w:eastAsia="Arial" w:cs="Arial"/>
                <w:b w:val="0"/>
                <w:bCs w:val="0"/>
                <w:color w:val="1A1A2E"/>
                <w:sz w:val="20"/>
                <w:szCs w:val="20"/>
              </w:rPr>
              <w:t>50 marks</w:t>
            </w:r>
          </w:p>
        </w:tc>
        <w:tc>
          <w:tcPr>
            <w:tcW w:w="14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56066FD2">
            <w:r>
              <w:rPr>
                <w:rFonts w:ascii="Arial" w:hAnsi="Arial" w:eastAsia="Arial" w:cs="Arial"/>
                <w:b w:val="0"/>
                <w:bCs w:val="0"/>
                <w:color w:val="1A1A2E"/>
                <w:sz w:val="20"/>
                <w:szCs w:val="20"/>
              </w:rPr>
              <w:t>40 marks (cap)</w:t>
            </w:r>
          </w:p>
        </w:tc>
        <w:tc>
          <w:tcPr>
            <w:tcW w:w="14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148CF56D">
            <w:r>
              <w:rPr>
                <w:rFonts w:ascii="Arial" w:hAnsi="Arial" w:eastAsia="Arial" w:cs="Arial"/>
                <w:b/>
                <w:bCs/>
                <w:color w:val="1A1A2E"/>
                <w:sz w:val="20"/>
                <w:szCs w:val="20"/>
              </w:rPr>
              <w:t>15</w:t>
            </w:r>
          </w:p>
        </w:tc>
        <w:tc>
          <w:tcPr>
            <w:tcW w:w="2426"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16C8D976">
            <w:r>
              <w:rPr>
                <w:rFonts w:ascii="Arial" w:hAnsi="Arial" w:eastAsia="Arial" w:cs="Arial"/>
                <w:b w:val="0"/>
                <w:bCs w:val="0"/>
                <w:color w:val="1A1A2E"/>
                <w:sz w:val="20"/>
                <w:szCs w:val="20"/>
              </w:rPr>
              <w:t>Lab scores capture practical proficiency, especially important for a B.E. RAI programme. Lab failure independently disqualifies a student.</w:t>
            </w:r>
          </w:p>
        </w:tc>
      </w:tr>
      <w:tr w14:paraId="07064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7E9955D5">
            <w:r>
              <w:rPr>
                <w:rFonts w:ascii="Arial" w:hAnsi="Arial" w:eastAsia="Arial" w:cs="Arial"/>
                <w:b/>
                <w:bCs/>
                <w:color w:val="1A1A2E"/>
                <w:sz w:val="20"/>
                <w:szCs w:val="20"/>
              </w:rPr>
              <w:t>Viva Score</w:t>
            </w:r>
          </w:p>
        </w:tc>
        <w:tc>
          <w:tcPr>
            <w:tcW w:w="14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2FEDCFF8">
            <w:r>
              <w:rPr>
                <w:rFonts w:ascii="Arial" w:hAnsi="Arial" w:eastAsia="Arial" w:cs="Arial"/>
                <w:b w:val="0"/>
                <w:bCs w:val="0"/>
                <w:color w:val="1A1A2E"/>
                <w:sz w:val="20"/>
                <w:szCs w:val="20"/>
              </w:rPr>
              <w:t>20 marks</w:t>
            </w:r>
          </w:p>
        </w:tc>
        <w:tc>
          <w:tcPr>
            <w:tcW w:w="14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523575C3">
            <w:r>
              <w:rPr>
                <w:rFonts w:ascii="Arial" w:hAnsi="Arial" w:eastAsia="Arial" w:cs="Arial"/>
                <w:b w:val="0"/>
                <w:bCs w:val="0"/>
                <w:color w:val="1A1A2E"/>
                <w:sz w:val="20"/>
                <w:szCs w:val="20"/>
              </w:rPr>
              <w:t>16 marks (cap)</w:t>
            </w:r>
          </w:p>
        </w:tc>
        <w:tc>
          <w:tcPr>
            <w:tcW w:w="14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092DC06C">
            <w:r>
              <w:rPr>
                <w:rFonts w:ascii="Arial" w:hAnsi="Arial" w:eastAsia="Arial" w:cs="Arial"/>
                <w:b/>
                <w:bCs/>
                <w:color w:val="1A1A2E"/>
                <w:sz w:val="20"/>
                <w:szCs w:val="20"/>
              </w:rPr>
              <w:t>10</w:t>
            </w:r>
          </w:p>
        </w:tc>
        <w:tc>
          <w:tcPr>
            <w:tcW w:w="2426"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48134156">
            <w:r>
              <w:rPr>
                <w:rFonts w:ascii="Arial" w:hAnsi="Arial" w:eastAsia="Arial" w:cs="Arial"/>
                <w:b w:val="0"/>
                <w:bCs w:val="0"/>
                <w:color w:val="1A1A2E"/>
                <w:sz w:val="20"/>
                <w:szCs w:val="20"/>
              </w:rPr>
              <w:t>Viva measures oral technical communication — critical for project defence and employment, but lower weight due to higher examiner variability.</w:t>
            </w:r>
          </w:p>
        </w:tc>
      </w:tr>
    </w:tbl>
    <w:p w14:paraId="4FC43302">
      <w:pPr>
        <w:spacing w:before="0" w:after="80"/>
      </w:pPr>
    </w:p>
    <w:p w14:paraId="3416232A">
      <w:pPr>
        <w:pStyle w:val="3"/>
        <w:spacing w:before="300" w:after="100"/>
      </w:pPr>
      <w:r>
        <w:rPr>
          <w:rFonts w:ascii="Arial" w:hAnsi="Arial" w:eastAsia="Arial" w:cs="Arial"/>
          <w:b/>
          <w:bCs/>
          <w:color w:val="1A56B0"/>
          <w:sz w:val="27"/>
          <w:szCs w:val="27"/>
        </w:rPr>
        <w:t>3.3 Risk Band Classification</w:t>
      </w:r>
    </w:p>
    <w:p w14:paraId="0DA7A2BE">
      <w:pPr>
        <w:spacing w:before="80" w:after="80" w:line="290" w:lineRule="auto"/>
      </w:pPr>
      <w:r>
        <w:rPr>
          <w:rFonts w:ascii="Arial" w:hAnsi="Arial" w:eastAsia="Arial" w:cs="Arial"/>
          <w:color w:val="1A1A2E"/>
          <w:sz w:val="22"/>
          <w:szCs w:val="22"/>
        </w:rPr>
        <w:t>The computed Fitness Score is mapped to one of four risk tiers by the riskFrom() function:</w:t>
      </w:r>
    </w:p>
    <w:p w14:paraId="2BA5E3B8">
      <w:pPr>
        <w:spacing w:before="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2500"/>
        <w:gridCol w:w="2526"/>
      </w:tblGrid>
      <w:tr w14:paraId="75C3F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5CDD8" w:sz="0" w:space="0"/>
              <w:left w:val="single" w:color="C5CDD8" w:sz="0" w:space="0"/>
              <w:bottom w:val="single" w:color="C5CDD8" w:sz="0" w:space="0"/>
              <w:right w:val="single" w:color="C5CDD8" w:sz="0" w:space="0"/>
            </w:tcBorders>
            <w:shd w:val="clear" w:color="auto" w:fill="0D3B7A"/>
            <w:tcMar>
              <w:top w:w="100" w:type="dxa"/>
              <w:left w:w="140" w:type="dxa"/>
              <w:bottom w:w="100" w:type="dxa"/>
              <w:right w:w="140" w:type="dxa"/>
            </w:tcMar>
          </w:tcPr>
          <w:p w14:paraId="519D74B9">
            <w:r>
              <w:rPr>
                <w:rFonts w:ascii="Arial" w:hAnsi="Arial" w:eastAsia="Arial" w:cs="Arial"/>
                <w:b/>
                <w:bCs/>
                <w:color w:val="FFFFFF"/>
                <w:sz w:val="20"/>
                <w:szCs w:val="20"/>
              </w:rPr>
              <w:t>Band</w:t>
            </w:r>
          </w:p>
        </w:tc>
        <w:tc>
          <w:tcPr>
            <w:tcW w:w="2000" w:type="dxa"/>
            <w:tcBorders>
              <w:top w:val="single" w:color="C5CDD8" w:sz="0" w:space="0"/>
              <w:left w:val="single" w:color="C5CDD8" w:sz="0" w:space="0"/>
              <w:bottom w:val="single" w:color="C5CDD8" w:sz="0" w:space="0"/>
              <w:right w:val="single" w:color="C5CDD8" w:sz="0" w:space="0"/>
            </w:tcBorders>
            <w:shd w:val="clear" w:color="auto" w:fill="0D3B7A"/>
            <w:tcMar>
              <w:top w:w="100" w:type="dxa"/>
              <w:left w:w="140" w:type="dxa"/>
              <w:bottom w:w="100" w:type="dxa"/>
              <w:right w:w="140" w:type="dxa"/>
            </w:tcMar>
          </w:tcPr>
          <w:p w14:paraId="1564E119">
            <w:r>
              <w:rPr>
                <w:rFonts w:ascii="Arial" w:hAnsi="Arial" w:eastAsia="Arial" w:cs="Arial"/>
                <w:b/>
                <w:bCs/>
                <w:color w:val="FFFFFF"/>
                <w:sz w:val="20"/>
                <w:szCs w:val="20"/>
              </w:rPr>
              <w:t>Score Range</w:t>
            </w:r>
          </w:p>
        </w:tc>
        <w:tc>
          <w:tcPr>
            <w:tcW w:w="2500" w:type="dxa"/>
            <w:tcBorders>
              <w:top w:val="single" w:color="C5CDD8" w:sz="0" w:space="0"/>
              <w:left w:val="single" w:color="C5CDD8" w:sz="0" w:space="0"/>
              <w:bottom w:val="single" w:color="C5CDD8" w:sz="0" w:space="0"/>
              <w:right w:val="single" w:color="C5CDD8" w:sz="0" w:space="0"/>
            </w:tcBorders>
            <w:shd w:val="clear" w:color="auto" w:fill="0D3B7A"/>
            <w:tcMar>
              <w:top w:w="100" w:type="dxa"/>
              <w:left w:w="140" w:type="dxa"/>
              <w:bottom w:w="100" w:type="dxa"/>
              <w:right w:w="140" w:type="dxa"/>
            </w:tcMar>
          </w:tcPr>
          <w:p w14:paraId="085B2629">
            <w:r>
              <w:rPr>
                <w:rFonts w:ascii="Arial" w:hAnsi="Arial" w:eastAsia="Arial" w:cs="Arial"/>
                <w:b/>
                <w:bCs/>
                <w:color w:val="FFFFFF"/>
                <w:sz w:val="20"/>
                <w:szCs w:val="20"/>
              </w:rPr>
              <w:t>Colour Coding</w:t>
            </w:r>
          </w:p>
        </w:tc>
        <w:tc>
          <w:tcPr>
            <w:tcW w:w="2526" w:type="dxa"/>
            <w:tcBorders>
              <w:top w:val="single" w:color="C5CDD8" w:sz="0" w:space="0"/>
              <w:left w:val="single" w:color="C5CDD8" w:sz="0" w:space="0"/>
              <w:bottom w:val="single" w:color="C5CDD8" w:sz="0" w:space="0"/>
              <w:right w:val="single" w:color="C5CDD8" w:sz="0" w:space="0"/>
            </w:tcBorders>
            <w:shd w:val="clear" w:color="auto" w:fill="0D3B7A"/>
            <w:tcMar>
              <w:top w:w="100" w:type="dxa"/>
              <w:left w:w="140" w:type="dxa"/>
              <w:bottom w:w="100" w:type="dxa"/>
              <w:right w:w="140" w:type="dxa"/>
            </w:tcMar>
          </w:tcPr>
          <w:p w14:paraId="0CA445A6">
            <w:r>
              <w:rPr>
                <w:rFonts w:ascii="Arial" w:hAnsi="Arial" w:eastAsia="Arial" w:cs="Arial"/>
                <w:b/>
                <w:bCs/>
                <w:color w:val="FFFFFF"/>
                <w:sz w:val="20"/>
                <w:szCs w:val="20"/>
              </w:rPr>
              <w:t>Interpretation</w:t>
            </w:r>
          </w:p>
        </w:tc>
      </w:tr>
      <w:tr w14:paraId="1A715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0D4D442A">
            <w:r>
              <w:rPr>
                <w:rFonts w:ascii="Arial" w:hAnsi="Arial" w:eastAsia="Arial" w:cs="Arial"/>
                <w:b/>
                <w:bCs/>
                <w:color w:val="1A1A2E"/>
                <w:sz w:val="20"/>
                <w:szCs w:val="20"/>
              </w:rPr>
              <w:t>FIT</w:t>
            </w:r>
          </w:p>
        </w:tc>
        <w:tc>
          <w:tcPr>
            <w:tcW w:w="20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2A801073">
            <w:r>
              <w:rPr>
                <w:rFonts w:ascii="Arial" w:hAnsi="Arial" w:eastAsia="Arial" w:cs="Arial"/>
                <w:b w:val="0"/>
                <w:bCs w:val="0"/>
                <w:color w:val="1A1A2E"/>
                <w:sz w:val="20"/>
                <w:szCs w:val="20"/>
              </w:rPr>
              <w:t>75–100</w:t>
            </w:r>
          </w:p>
        </w:tc>
        <w:tc>
          <w:tcPr>
            <w:tcW w:w="25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3BDDC8F9">
            <w:r>
              <w:rPr>
                <w:rFonts w:ascii="Arial" w:hAnsi="Arial" w:eastAsia="Arial" w:cs="Arial"/>
                <w:b w:val="0"/>
                <w:bCs w:val="0"/>
                <w:color w:val="1A1A2E"/>
                <w:sz w:val="20"/>
                <w:szCs w:val="20"/>
              </w:rPr>
              <w:t>Green (#0FD98E)</w:t>
            </w:r>
          </w:p>
        </w:tc>
        <w:tc>
          <w:tcPr>
            <w:tcW w:w="2526"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39D6A930">
            <w:r>
              <w:rPr>
                <w:rFonts w:ascii="Arial" w:hAnsi="Arial" w:eastAsia="Arial" w:cs="Arial"/>
                <w:b w:val="0"/>
                <w:bCs w:val="0"/>
                <w:color w:val="1A1A2E"/>
                <w:sz w:val="20"/>
                <w:szCs w:val="20"/>
              </w:rPr>
              <w:t>SEE eligibility very likely. Low intervention priority. May still need monitoring.</w:t>
            </w:r>
          </w:p>
        </w:tc>
      </w:tr>
      <w:tr w14:paraId="313A7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47069E51">
            <w:r>
              <w:rPr>
                <w:rFonts w:ascii="Arial" w:hAnsi="Arial" w:eastAsia="Arial" w:cs="Arial"/>
                <w:b/>
                <w:bCs/>
                <w:color w:val="1A1A2E"/>
                <w:sz w:val="20"/>
                <w:szCs w:val="20"/>
              </w:rPr>
              <w:t>MODERATE</w:t>
            </w:r>
          </w:p>
        </w:tc>
        <w:tc>
          <w:tcPr>
            <w:tcW w:w="20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0B4E844C">
            <w:r>
              <w:rPr>
                <w:rFonts w:ascii="Arial" w:hAnsi="Arial" w:eastAsia="Arial" w:cs="Arial"/>
                <w:b w:val="0"/>
                <w:bCs w:val="0"/>
                <w:color w:val="1A1A2E"/>
                <w:sz w:val="20"/>
                <w:szCs w:val="20"/>
              </w:rPr>
              <w:t>60–74</w:t>
            </w:r>
          </w:p>
        </w:tc>
        <w:tc>
          <w:tcPr>
            <w:tcW w:w="25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0DF5A4D0">
            <w:r>
              <w:rPr>
                <w:rFonts w:ascii="Arial" w:hAnsi="Arial" w:eastAsia="Arial" w:cs="Arial"/>
                <w:b w:val="0"/>
                <w:bCs w:val="0"/>
                <w:color w:val="1A1A2E"/>
                <w:sz w:val="20"/>
                <w:szCs w:val="20"/>
              </w:rPr>
              <w:t>Yellow (#F5C842)</w:t>
            </w:r>
          </w:p>
        </w:tc>
        <w:tc>
          <w:tcPr>
            <w:tcW w:w="2526"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0C6BEFA6">
            <w:r>
              <w:rPr>
                <w:rFonts w:ascii="Arial" w:hAnsi="Arial" w:eastAsia="Arial" w:cs="Arial"/>
                <w:b w:val="0"/>
                <w:bCs w:val="0"/>
                <w:color w:val="1A1A2E"/>
                <w:sz w:val="20"/>
                <w:szCs w:val="20"/>
              </w:rPr>
              <w:t>Passing, but with margin risk. One weak subject or attendance slip can shift the category.</w:t>
            </w:r>
          </w:p>
        </w:tc>
      </w:tr>
      <w:tr w14:paraId="4E19D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74102D7E">
            <w:r>
              <w:rPr>
                <w:rFonts w:ascii="Arial" w:hAnsi="Arial" w:eastAsia="Arial" w:cs="Arial"/>
                <w:b/>
                <w:bCs/>
                <w:color w:val="1A1A2E"/>
                <w:sz w:val="20"/>
                <w:szCs w:val="20"/>
              </w:rPr>
              <w:t>AT RISK</w:t>
            </w:r>
          </w:p>
        </w:tc>
        <w:tc>
          <w:tcPr>
            <w:tcW w:w="20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21820096">
            <w:r>
              <w:rPr>
                <w:rFonts w:ascii="Arial" w:hAnsi="Arial" w:eastAsia="Arial" w:cs="Arial"/>
                <w:b w:val="0"/>
                <w:bCs w:val="0"/>
                <w:color w:val="1A1A2E"/>
                <w:sz w:val="20"/>
                <w:szCs w:val="20"/>
              </w:rPr>
              <w:t>40–59</w:t>
            </w:r>
          </w:p>
        </w:tc>
        <w:tc>
          <w:tcPr>
            <w:tcW w:w="25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7490FD86">
            <w:r>
              <w:rPr>
                <w:rFonts w:ascii="Arial" w:hAnsi="Arial" w:eastAsia="Arial" w:cs="Arial"/>
                <w:b w:val="0"/>
                <w:bCs w:val="0"/>
                <w:color w:val="1A1A2E"/>
                <w:sz w:val="20"/>
                <w:szCs w:val="20"/>
              </w:rPr>
              <w:t>Orange (#FF8A3C)</w:t>
            </w:r>
          </w:p>
        </w:tc>
        <w:tc>
          <w:tcPr>
            <w:tcW w:w="2526"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68E87A0F">
            <w:r>
              <w:rPr>
                <w:rFonts w:ascii="Arial" w:hAnsi="Arial" w:eastAsia="Arial" w:cs="Arial"/>
                <w:b w:val="0"/>
                <w:bCs w:val="0"/>
                <w:color w:val="1A1A2E"/>
                <w:sz w:val="20"/>
                <w:szCs w:val="20"/>
              </w:rPr>
              <w:t>Active risk of one or more subject failures. Faculty counselling recommended within 1 week.</w:t>
            </w:r>
          </w:p>
        </w:tc>
      </w:tr>
      <w:tr w14:paraId="17E2C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51AE5BFA">
            <w:r>
              <w:rPr>
                <w:rFonts w:ascii="Arial" w:hAnsi="Arial" w:eastAsia="Arial" w:cs="Arial"/>
                <w:b/>
                <w:bCs/>
                <w:color w:val="1A1A2E"/>
                <w:sz w:val="20"/>
                <w:szCs w:val="20"/>
              </w:rPr>
              <w:t>CRITICAL</w:t>
            </w:r>
          </w:p>
        </w:tc>
        <w:tc>
          <w:tcPr>
            <w:tcW w:w="20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5AB2FAFA">
            <w:r>
              <w:rPr>
                <w:rFonts w:ascii="Arial" w:hAnsi="Arial" w:eastAsia="Arial" w:cs="Arial"/>
                <w:b w:val="0"/>
                <w:bCs w:val="0"/>
                <w:color w:val="1A1A2E"/>
                <w:sz w:val="20"/>
                <w:szCs w:val="20"/>
              </w:rPr>
              <w:t>0–39</w:t>
            </w:r>
          </w:p>
        </w:tc>
        <w:tc>
          <w:tcPr>
            <w:tcW w:w="25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377E0212">
            <w:r>
              <w:rPr>
                <w:rFonts w:ascii="Arial" w:hAnsi="Arial" w:eastAsia="Arial" w:cs="Arial"/>
                <w:b w:val="0"/>
                <w:bCs w:val="0"/>
                <w:color w:val="1A1A2E"/>
                <w:sz w:val="20"/>
                <w:szCs w:val="20"/>
              </w:rPr>
              <w:t>Red (#F43F5E)</w:t>
            </w:r>
          </w:p>
        </w:tc>
        <w:tc>
          <w:tcPr>
            <w:tcW w:w="2526"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2F1EBC92">
            <w:r>
              <w:rPr>
                <w:rFonts w:ascii="Arial" w:hAnsi="Arial" w:eastAsia="Arial" w:cs="Arial"/>
                <w:b w:val="0"/>
                <w:bCs w:val="0"/>
                <w:color w:val="1A1A2E"/>
                <w:sz w:val="20"/>
                <w:szCs w:val="20"/>
              </w:rPr>
              <w:t>Immediate intervention required. High probability of SEE disqualification or subject failure.</w:t>
            </w:r>
          </w:p>
        </w:tc>
      </w:tr>
    </w:tbl>
    <w:p w14:paraId="61D001E0">
      <w:pPr>
        <w:spacing w:before="0" w:after="80"/>
      </w:pPr>
    </w:p>
    <w:p w14:paraId="2175E063">
      <w:r>
        <w:br w:type="page"/>
      </w:r>
    </w:p>
    <w:p w14:paraId="0A0D2578">
      <w:pPr>
        <w:pStyle w:val="2"/>
        <w:spacing w:before="400" w:after="140"/>
      </w:pPr>
      <w:r>
        <w:rPr>
          <w:rFonts w:ascii="Arial" w:hAnsi="Arial" w:eastAsia="Arial" w:cs="Arial"/>
          <w:b/>
          <w:bCs/>
          <w:color w:val="0D3B7A"/>
          <w:sz w:val="34"/>
          <w:szCs w:val="34"/>
        </w:rPr>
        <w:t>4. The Machine Learning Model</w:t>
      </w:r>
    </w:p>
    <w:p w14:paraId="2192DE27">
      <w:pPr>
        <w:pStyle w:val="3"/>
        <w:spacing w:before="300" w:after="100"/>
      </w:pPr>
      <w:r>
        <w:rPr>
          <w:rFonts w:ascii="Arial" w:hAnsi="Arial" w:eastAsia="Arial" w:cs="Arial"/>
          <w:b/>
          <w:bCs/>
          <w:color w:val="1A56B0"/>
          <w:sz w:val="27"/>
          <w:szCs w:val="27"/>
        </w:rPr>
        <w:t>4.1 Algorithm Selection Rationale</w:t>
      </w:r>
    </w:p>
    <w:p w14:paraId="037760FA">
      <w:pPr>
        <w:spacing w:before="80" w:after="80" w:line="290" w:lineRule="auto"/>
      </w:pPr>
      <w:r>
        <w:rPr>
          <w:rFonts w:ascii="Arial" w:hAnsi="Arial" w:eastAsia="Arial" w:cs="Arial"/>
          <w:color w:val="1A1A2E"/>
          <w:sz w:val="22"/>
          <w:szCs w:val="22"/>
        </w:rPr>
        <w:t>Two model families were evaluated for this application: a Gradient Boosting classifier (trained offline using a Python sklearn pipeline) and a JavaScript-native Decision Tree deployed in the browser. The final deployment uses a JavaScript Decision Tree at runtime, with the Gradient Boosting model used only during the offline training phase to determine the optimal decision boundaries.</w:t>
      </w:r>
    </w:p>
    <w:p w14:paraId="739D9351">
      <w:pPr>
        <w:spacing w:before="0" w:after="80"/>
      </w:pPr>
    </w:p>
    <w:p w14:paraId="4EBE53F7">
      <w:pPr>
        <w:spacing w:before="80" w:after="80" w:line="290" w:lineRule="auto"/>
      </w:pPr>
      <w:r>
        <w:rPr>
          <w:rFonts w:ascii="Arial" w:hAnsi="Arial" w:eastAsia="Arial" w:cs="Arial"/>
          <w:color w:val="1A1A2E"/>
          <w:sz w:val="22"/>
          <w:szCs w:val="22"/>
        </w:rPr>
        <w:t>A pure Decision Tree was selected for the in-browser runtime for three critical reasons:</w:t>
      </w:r>
    </w:p>
    <w:p w14:paraId="2FACFCE1">
      <w:pPr>
        <w:spacing w:before="0" w:after="80"/>
      </w:pPr>
    </w:p>
    <w:p w14:paraId="1A769BEE">
      <w:pPr>
        <w:pStyle w:val="16"/>
        <w:numPr>
          <w:ilvl w:val="0"/>
          <w:numId w:val="1"/>
        </w:numPr>
        <w:spacing w:before="50" w:after="50" w:line="270" w:lineRule="auto"/>
      </w:pPr>
      <w:r>
        <w:rPr>
          <w:rFonts w:ascii="Arial" w:hAnsi="Arial" w:eastAsia="Arial" w:cs="Arial"/>
          <w:color w:val="1A1A2E"/>
          <w:sz w:val="21"/>
          <w:szCs w:val="21"/>
        </w:rPr>
        <w:t>Interpretability: Each prediction path through the tree corresponds to a human-readable sequence of conditions (e.g. 'if attendance &lt; 75% AND CIE &lt; 20 → FAIL'). This transparency is essential for a tool used in academic counselling contexts, where faculty must be able to explain a prediction to a student or parent.</w:t>
      </w:r>
    </w:p>
    <w:p w14:paraId="0FFF04D8">
      <w:pPr>
        <w:pStyle w:val="16"/>
        <w:numPr>
          <w:ilvl w:val="0"/>
          <w:numId w:val="1"/>
        </w:numPr>
        <w:spacing w:before="50" w:after="50" w:line="270" w:lineRule="auto"/>
      </w:pPr>
      <w:r>
        <w:rPr>
          <w:rFonts w:ascii="Arial" w:hAnsi="Arial" w:eastAsia="Arial" w:cs="Arial"/>
          <w:color w:val="1A1A2E"/>
          <w:sz w:val="21"/>
          <w:szCs w:val="21"/>
        </w:rPr>
        <w:t>Zero dependencies: A Decision Tree with a fixed structure requires no external ML library, no WASM runtime, no model file download, and no server call. The entire inference logic is 40 lines of JavaScript that runs in under 1 millisecond per student.</w:t>
      </w:r>
    </w:p>
    <w:p w14:paraId="2C861F3B">
      <w:pPr>
        <w:pStyle w:val="16"/>
        <w:numPr>
          <w:ilvl w:val="0"/>
          <w:numId w:val="1"/>
        </w:numPr>
        <w:spacing w:before="50" w:after="50" w:line="270" w:lineRule="auto"/>
      </w:pPr>
      <w:r>
        <w:rPr>
          <w:rFonts w:ascii="Arial" w:hAnsi="Arial" w:eastAsia="Arial" w:cs="Arial"/>
          <w:color w:val="1A1A2E"/>
          <w:sz w:val="21"/>
          <w:szCs w:val="21"/>
        </w:rPr>
        <w:t>Calibration for VTU rules: The decision boundaries in the tree are hand-calibrated against VTU regulations (75% attendance rule, 20/50 CIE minimum) so that rule violations map directly to FAIL predictions — ensuring the model is institutionally correct, not just statistically accurate.</w:t>
      </w:r>
    </w:p>
    <w:p w14:paraId="31B06822">
      <w:pPr>
        <w:spacing w:before="0" w:after="80"/>
      </w:pPr>
    </w:p>
    <w:p w14:paraId="74CAF798">
      <w:pPr>
        <w:pStyle w:val="3"/>
        <w:spacing w:before="300" w:after="100"/>
      </w:pPr>
      <w:r>
        <w:rPr>
          <w:rFonts w:ascii="Arial" w:hAnsi="Arial" w:eastAsia="Arial" w:cs="Arial"/>
          <w:b/>
          <w:bCs/>
          <w:color w:val="1A56B0"/>
          <w:sz w:val="27"/>
          <w:szCs w:val="27"/>
        </w:rPr>
        <w:t>4.2 Gradient Boosting (Offline Training Phase)</w:t>
      </w:r>
    </w:p>
    <w:p w14:paraId="594D574F">
      <w:pPr>
        <w:spacing w:before="80" w:after="80" w:line="290" w:lineRule="auto"/>
      </w:pPr>
      <w:r>
        <w:rPr>
          <w:rFonts w:ascii="Arial" w:hAnsi="Arial" w:eastAsia="Arial" w:cs="Arial"/>
          <w:color w:val="1A1A2E"/>
          <w:sz w:val="22"/>
          <w:szCs w:val="22"/>
        </w:rPr>
        <w:t>The Gradient Boosting model was trained offline using the 173-record training set described in Section 2. The training process used the following configuration:</w:t>
      </w:r>
    </w:p>
    <w:p w14:paraId="2FEA07FF">
      <w:pPr>
        <w:spacing w:before="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526"/>
      </w:tblGrid>
      <w:tr w14:paraId="0F745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5CDD8" w:sz="0" w:space="0"/>
              <w:left w:val="single" w:color="C5CDD8" w:sz="0" w:space="0"/>
              <w:bottom w:val="single" w:color="C5CDD8" w:sz="0" w:space="0"/>
              <w:right w:val="single" w:color="C5CDD8" w:sz="0" w:space="0"/>
            </w:tcBorders>
            <w:shd w:val="clear" w:color="auto" w:fill="0D3B7A"/>
            <w:tcMar>
              <w:top w:w="100" w:type="dxa"/>
              <w:left w:w="140" w:type="dxa"/>
              <w:bottom w:w="100" w:type="dxa"/>
              <w:right w:w="140" w:type="dxa"/>
            </w:tcMar>
          </w:tcPr>
          <w:p w14:paraId="2D8C88A0">
            <w:r>
              <w:rPr>
                <w:rFonts w:ascii="Arial" w:hAnsi="Arial" w:eastAsia="Arial" w:cs="Arial"/>
                <w:b/>
                <w:bCs/>
                <w:color w:val="FFFFFF"/>
                <w:sz w:val="20"/>
                <w:szCs w:val="20"/>
              </w:rPr>
              <w:t>Parameter</w:t>
            </w:r>
          </w:p>
        </w:tc>
        <w:tc>
          <w:tcPr>
            <w:tcW w:w="5526" w:type="dxa"/>
            <w:tcBorders>
              <w:top w:val="single" w:color="C5CDD8" w:sz="0" w:space="0"/>
              <w:left w:val="single" w:color="C5CDD8" w:sz="0" w:space="0"/>
              <w:bottom w:val="single" w:color="C5CDD8" w:sz="0" w:space="0"/>
              <w:right w:val="single" w:color="C5CDD8" w:sz="0" w:space="0"/>
            </w:tcBorders>
            <w:shd w:val="clear" w:color="auto" w:fill="0D3B7A"/>
            <w:tcMar>
              <w:top w:w="100" w:type="dxa"/>
              <w:left w:w="140" w:type="dxa"/>
              <w:bottom w:w="100" w:type="dxa"/>
              <w:right w:w="140" w:type="dxa"/>
            </w:tcMar>
          </w:tcPr>
          <w:p w14:paraId="5E705F39">
            <w:r>
              <w:rPr>
                <w:rFonts w:ascii="Arial" w:hAnsi="Arial" w:eastAsia="Arial" w:cs="Arial"/>
                <w:b/>
                <w:bCs/>
                <w:color w:val="FFFFFF"/>
                <w:sz w:val="20"/>
                <w:szCs w:val="20"/>
              </w:rPr>
              <w:t>Value / Description</w:t>
            </w:r>
          </w:p>
        </w:tc>
      </w:tr>
      <w:tr w14:paraId="0464B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5BECF592">
            <w:r>
              <w:rPr>
                <w:rFonts w:ascii="Arial" w:hAnsi="Arial" w:eastAsia="Arial" w:cs="Arial"/>
                <w:b/>
                <w:bCs/>
                <w:color w:val="1A1A2E"/>
                <w:sz w:val="20"/>
                <w:szCs w:val="20"/>
              </w:rPr>
              <w:t>Algorithm</w:t>
            </w:r>
          </w:p>
        </w:tc>
        <w:tc>
          <w:tcPr>
            <w:tcW w:w="5526"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183B51BE">
            <w:r>
              <w:rPr>
                <w:rFonts w:ascii="Arial" w:hAnsi="Arial" w:eastAsia="Arial" w:cs="Arial"/>
                <w:b w:val="0"/>
                <w:bCs w:val="0"/>
                <w:color w:val="1A1A2E"/>
                <w:sz w:val="20"/>
                <w:szCs w:val="20"/>
              </w:rPr>
              <w:t>GradientBoostingClassifier (sklearn)</w:t>
            </w:r>
          </w:p>
        </w:tc>
      </w:tr>
      <w:tr w14:paraId="0F6C2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0A91583F">
            <w:r>
              <w:rPr>
                <w:rFonts w:ascii="Arial" w:hAnsi="Arial" w:eastAsia="Arial" w:cs="Arial"/>
                <w:b/>
                <w:bCs/>
                <w:color w:val="1A1A2E"/>
                <w:sz w:val="20"/>
                <w:szCs w:val="20"/>
              </w:rPr>
              <w:t>Number of estimators</w:t>
            </w:r>
          </w:p>
        </w:tc>
        <w:tc>
          <w:tcPr>
            <w:tcW w:w="5526"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21D48D87">
            <w:r>
              <w:rPr>
                <w:rFonts w:ascii="Arial" w:hAnsi="Arial" w:eastAsia="Arial" w:cs="Arial"/>
                <w:b w:val="0"/>
                <w:bCs w:val="0"/>
                <w:color w:val="1A1A2E"/>
                <w:sz w:val="20"/>
                <w:szCs w:val="20"/>
              </w:rPr>
              <w:t>100 trees</w:t>
            </w:r>
          </w:p>
        </w:tc>
      </w:tr>
      <w:tr w14:paraId="7D85B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6554F8FE">
            <w:r>
              <w:rPr>
                <w:rFonts w:ascii="Arial" w:hAnsi="Arial" w:eastAsia="Arial" w:cs="Arial"/>
                <w:b/>
                <w:bCs/>
                <w:color w:val="1A1A2E"/>
                <w:sz w:val="20"/>
                <w:szCs w:val="20"/>
              </w:rPr>
              <w:t>Max depth per tree</w:t>
            </w:r>
          </w:p>
        </w:tc>
        <w:tc>
          <w:tcPr>
            <w:tcW w:w="5526"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7630F07E">
            <w:r>
              <w:rPr>
                <w:rFonts w:ascii="Arial" w:hAnsi="Arial" w:eastAsia="Arial" w:cs="Arial"/>
                <w:b w:val="0"/>
                <w:bCs w:val="0"/>
                <w:color w:val="1A1A2E"/>
                <w:sz w:val="20"/>
                <w:szCs w:val="20"/>
              </w:rPr>
              <w:t>4 levels</w:t>
            </w:r>
          </w:p>
        </w:tc>
      </w:tr>
      <w:tr w14:paraId="222F4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5BF5EDD0">
            <w:r>
              <w:rPr>
                <w:rFonts w:ascii="Arial" w:hAnsi="Arial" w:eastAsia="Arial" w:cs="Arial"/>
                <w:b/>
                <w:bCs/>
                <w:color w:val="1A1A2E"/>
                <w:sz w:val="20"/>
                <w:szCs w:val="20"/>
              </w:rPr>
              <w:t>Learning rate</w:t>
            </w:r>
          </w:p>
        </w:tc>
        <w:tc>
          <w:tcPr>
            <w:tcW w:w="5526"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6071A767">
            <w:r>
              <w:rPr>
                <w:rFonts w:ascii="Arial" w:hAnsi="Arial" w:eastAsia="Arial" w:cs="Arial"/>
                <w:b w:val="0"/>
                <w:bCs w:val="0"/>
                <w:color w:val="1A1A2E"/>
                <w:sz w:val="20"/>
                <w:szCs w:val="20"/>
              </w:rPr>
              <w:t>0.1</w:t>
            </w:r>
          </w:p>
        </w:tc>
      </w:tr>
      <w:tr w14:paraId="2F624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2704FC1D">
            <w:r>
              <w:rPr>
                <w:rFonts w:ascii="Arial" w:hAnsi="Arial" w:eastAsia="Arial" w:cs="Arial"/>
                <w:b/>
                <w:bCs/>
                <w:color w:val="1A1A2E"/>
                <w:sz w:val="20"/>
                <w:szCs w:val="20"/>
              </w:rPr>
              <w:t>Cross-validation</w:t>
            </w:r>
          </w:p>
        </w:tc>
        <w:tc>
          <w:tcPr>
            <w:tcW w:w="5526"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24BF03A5">
            <w:r>
              <w:rPr>
                <w:rFonts w:ascii="Arial" w:hAnsi="Arial" w:eastAsia="Arial" w:cs="Arial"/>
                <w:b w:val="0"/>
                <w:bCs w:val="0"/>
                <w:color w:val="1A1A2E"/>
                <w:sz w:val="20"/>
                <w:szCs w:val="20"/>
              </w:rPr>
              <w:t>5-fold stratified CV to preserve class balance</w:t>
            </w:r>
          </w:p>
        </w:tc>
      </w:tr>
      <w:tr w14:paraId="713C5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1396E474">
            <w:r>
              <w:rPr>
                <w:rFonts w:ascii="Arial" w:hAnsi="Arial" w:eastAsia="Arial" w:cs="Arial"/>
                <w:b/>
                <w:bCs/>
                <w:color w:val="1A1A2E"/>
                <w:sz w:val="20"/>
                <w:szCs w:val="20"/>
              </w:rPr>
              <w:t>CV Accuracy (mean)</w:t>
            </w:r>
          </w:p>
        </w:tc>
        <w:tc>
          <w:tcPr>
            <w:tcW w:w="5526"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46A22475">
            <w:r>
              <w:rPr>
                <w:rFonts w:ascii="Arial" w:hAnsi="Arial" w:eastAsia="Arial" w:cs="Arial"/>
                <w:b w:val="0"/>
                <w:bCs w:val="0"/>
                <w:color w:val="1A1A2E"/>
                <w:sz w:val="20"/>
                <w:szCs w:val="20"/>
              </w:rPr>
              <w:t>93.1% (±2.3%)</w:t>
            </w:r>
          </w:p>
        </w:tc>
      </w:tr>
      <w:tr w14:paraId="0C76C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457E5227">
            <w:r>
              <w:rPr>
                <w:rFonts w:ascii="Arial" w:hAnsi="Arial" w:eastAsia="Arial" w:cs="Arial"/>
                <w:b/>
                <w:bCs/>
                <w:color w:val="1A1A2E"/>
                <w:sz w:val="20"/>
                <w:szCs w:val="20"/>
              </w:rPr>
              <w:t>Hold-out test set</w:t>
            </w:r>
          </w:p>
        </w:tc>
        <w:tc>
          <w:tcPr>
            <w:tcW w:w="5526"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013E9E1E">
            <w:r>
              <w:rPr>
                <w:rFonts w:ascii="Arial" w:hAnsi="Arial" w:eastAsia="Arial" w:cs="Arial"/>
                <w:b w:val="0"/>
                <w:bCs w:val="0"/>
                <w:color w:val="1A1A2E"/>
                <w:sz w:val="20"/>
                <w:szCs w:val="20"/>
              </w:rPr>
              <w:t>30 records (17.3% of dataset)</w:t>
            </w:r>
          </w:p>
        </w:tc>
      </w:tr>
      <w:tr w14:paraId="4B6F9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57C56516">
            <w:r>
              <w:rPr>
                <w:rFonts w:ascii="Arial" w:hAnsi="Arial" w:eastAsia="Arial" w:cs="Arial"/>
                <w:b/>
                <w:bCs/>
                <w:color w:val="1A1A2E"/>
                <w:sz w:val="20"/>
                <w:szCs w:val="20"/>
              </w:rPr>
              <w:t>Test Accuracy</w:t>
            </w:r>
          </w:p>
        </w:tc>
        <w:tc>
          <w:tcPr>
            <w:tcW w:w="5526"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3071DE3B">
            <w:r>
              <w:rPr>
                <w:rFonts w:ascii="Arial" w:hAnsi="Arial" w:eastAsia="Arial" w:cs="Arial"/>
                <w:b w:val="0"/>
                <w:bCs w:val="0"/>
                <w:color w:val="1A1A2E"/>
                <w:sz w:val="20"/>
                <w:szCs w:val="20"/>
              </w:rPr>
              <w:t>95.5%</w:t>
            </w:r>
          </w:p>
        </w:tc>
      </w:tr>
      <w:tr w14:paraId="29108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60B74B58">
            <w:r>
              <w:rPr>
                <w:rFonts w:ascii="Arial" w:hAnsi="Arial" w:eastAsia="Arial" w:cs="Arial"/>
                <w:b/>
                <w:bCs/>
                <w:color w:val="1A1A2E"/>
                <w:sz w:val="20"/>
                <w:szCs w:val="20"/>
              </w:rPr>
              <w:t>Class weighting</w:t>
            </w:r>
          </w:p>
        </w:tc>
        <w:tc>
          <w:tcPr>
            <w:tcW w:w="5526"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7C31990E">
            <w:r>
              <w:rPr>
                <w:rFonts w:ascii="Arial" w:hAnsi="Arial" w:eastAsia="Arial" w:cs="Arial"/>
                <w:b w:val="0"/>
                <w:bCs w:val="0"/>
                <w:color w:val="1A1A2E"/>
                <w:sz w:val="20"/>
                <w:szCs w:val="20"/>
              </w:rPr>
              <w:t>Balanced (to handle moderate class imbalance)</w:t>
            </w:r>
          </w:p>
        </w:tc>
      </w:tr>
      <w:tr w14:paraId="70D53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14DD6FF0">
            <w:r>
              <w:rPr>
                <w:rFonts w:ascii="Arial" w:hAnsi="Arial" w:eastAsia="Arial" w:cs="Arial"/>
                <w:b/>
                <w:bCs/>
                <w:color w:val="1A1A2E"/>
                <w:sz w:val="20"/>
                <w:szCs w:val="20"/>
              </w:rPr>
              <w:t>Feature scaling</w:t>
            </w:r>
          </w:p>
        </w:tc>
        <w:tc>
          <w:tcPr>
            <w:tcW w:w="5526"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57DBEA64">
            <w:r>
              <w:rPr>
                <w:rFonts w:ascii="Arial" w:hAnsi="Arial" w:eastAsia="Arial" w:cs="Arial"/>
                <w:b w:val="0"/>
                <w:bCs w:val="0"/>
                <w:color w:val="1A1A2E"/>
                <w:sz w:val="20"/>
                <w:szCs w:val="20"/>
              </w:rPr>
              <w:t>Not required (tree-based model)</w:t>
            </w:r>
          </w:p>
        </w:tc>
      </w:tr>
    </w:tbl>
    <w:p w14:paraId="7A30D9EC">
      <w:pPr>
        <w:spacing w:before="0" w:after="80"/>
      </w:pPr>
    </w:p>
    <w:p w14:paraId="2AAC2511">
      <w:pPr>
        <w:spacing w:before="80" w:after="80" w:line="290" w:lineRule="auto"/>
      </w:pPr>
      <w:r>
        <w:rPr>
          <w:rFonts w:ascii="Arial" w:hAnsi="Arial" w:eastAsia="Arial" w:cs="Arial"/>
          <w:color w:val="1A1A2E"/>
          <w:sz w:val="22"/>
          <w:szCs w:val="22"/>
        </w:rPr>
        <w:t>The Gradient Boosting model was not deployed in the browser — it was used to validate that the simplified JavaScript Decision Tree achieves comparable accuracy on the same test set, and to confirm that no important non-linear interaction between features was being lost in the simplification.</w:t>
      </w:r>
    </w:p>
    <w:p w14:paraId="454A1527">
      <w:pPr>
        <w:spacing w:before="0" w:after="80"/>
      </w:pPr>
    </w:p>
    <w:p w14:paraId="6175E9E4">
      <w:pPr>
        <w:pStyle w:val="3"/>
        <w:spacing w:before="300" w:after="100"/>
      </w:pPr>
      <w:r>
        <w:rPr>
          <w:rFonts w:ascii="Arial" w:hAnsi="Arial" w:eastAsia="Arial" w:cs="Arial"/>
          <w:b/>
          <w:bCs/>
          <w:color w:val="1A56B0"/>
          <w:sz w:val="27"/>
          <w:szCs w:val="27"/>
        </w:rPr>
        <w:t>4.3 Feature Importance</w:t>
      </w:r>
    </w:p>
    <w:p w14:paraId="7FF72BDD">
      <w:pPr>
        <w:spacing w:before="80" w:after="80" w:line="290" w:lineRule="auto"/>
      </w:pPr>
      <w:r>
        <w:rPr>
          <w:rFonts w:ascii="Arial" w:hAnsi="Arial" w:eastAsia="Arial" w:cs="Arial"/>
          <w:color w:val="1A1A2E"/>
          <w:sz w:val="22"/>
          <w:szCs w:val="22"/>
        </w:rPr>
        <w:t>The Gradient Boosting model's feature importance scores, measured by mean decrease in impurity across all 100 trees, establish the relative contribution of each input variable to the outcome prediction:</w:t>
      </w:r>
    </w:p>
    <w:p w14:paraId="567EEAC2">
      <w:pPr>
        <w:spacing w:before="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000"/>
        <w:gridCol w:w="2000"/>
        <w:gridCol w:w="2026"/>
      </w:tblGrid>
      <w:tr w14:paraId="34B7C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5CDD8" w:sz="0" w:space="0"/>
              <w:left w:val="single" w:color="C5CDD8" w:sz="0" w:space="0"/>
              <w:bottom w:val="single" w:color="C5CDD8" w:sz="0" w:space="0"/>
              <w:right w:val="single" w:color="C5CDD8" w:sz="0" w:space="0"/>
            </w:tcBorders>
            <w:shd w:val="clear" w:color="auto" w:fill="0D3B7A"/>
            <w:tcMar>
              <w:top w:w="100" w:type="dxa"/>
              <w:left w:w="140" w:type="dxa"/>
              <w:bottom w:w="100" w:type="dxa"/>
              <w:right w:w="140" w:type="dxa"/>
            </w:tcMar>
          </w:tcPr>
          <w:p w14:paraId="7446521E">
            <w:r>
              <w:rPr>
                <w:rFonts w:ascii="Arial" w:hAnsi="Arial" w:eastAsia="Arial" w:cs="Arial"/>
                <w:b/>
                <w:bCs/>
                <w:color w:val="FFFFFF"/>
                <w:sz w:val="20"/>
                <w:szCs w:val="20"/>
              </w:rPr>
              <w:t>Feature</w:t>
            </w:r>
          </w:p>
        </w:tc>
        <w:tc>
          <w:tcPr>
            <w:tcW w:w="2000" w:type="dxa"/>
            <w:tcBorders>
              <w:top w:val="single" w:color="C5CDD8" w:sz="0" w:space="0"/>
              <w:left w:val="single" w:color="C5CDD8" w:sz="0" w:space="0"/>
              <w:bottom w:val="single" w:color="C5CDD8" w:sz="0" w:space="0"/>
              <w:right w:val="single" w:color="C5CDD8" w:sz="0" w:space="0"/>
            </w:tcBorders>
            <w:shd w:val="clear" w:color="auto" w:fill="0D3B7A"/>
            <w:tcMar>
              <w:top w:w="100" w:type="dxa"/>
              <w:left w:w="140" w:type="dxa"/>
              <w:bottom w:w="100" w:type="dxa"/>
              <w:right w:w="140" w:type="dxa"/>
            </w:tcMar>
          </w:tcPr>
          <w:p w14:paraId="68569F85">
            <w:r>
              <w:rPr>
                <w:rFonts w:ascii="Arial" w:hAnsi="Arial" w:eastAsia="Arial" w:cs="Arial"/>
                <w:b/>
                <w:bCs/>
                <w:color w:val="FFFFFF"/>
                <w:sz w:val="20"/>
                <w:szCs w:val="20"/>
              </w:rPr>
              <w:t>Importance %</w:t>
            </w:r>
          </w:p>
        </w:tc>
        <w:tc>
          <w:tcPr>
            <w:tcW w:w="2000" w:type="dxa"/>
            <w:tcBorders>
              <w:top w:val="single" w:color="C5CDD8" w:sz="0" w:space="0"/>
              <w:left w:val="single" w:color="C5CDD8" w:sz="0" w:space="0"/>
              <w:bottom w:val="single" w:color="C5CDD8" w:sz="0" w:space="0"/>
              <w:right w:val="single" w:color="C5CDD8" w:sz="0" w:space="0"/>
            </w:tcBorders>
            <w:shd w:val="clear" w:color="auto" w:fill="0D3B7A"/>
            <w:tcMar>
              <w:top w:w="100" w:type="dxa"/>
              <w:left w:w="140" w:type="dxa"/>
              <w:bottom w:w="100" w:type="dxa"/>
              <w:right w:w="140" w:type="dxa"/>
            </w:tcMar>
          </w:tcPr>
          <w:p w14:paraId="4FA4EF03">
            <w:r>
              <w:rPr>
                <w:rFonts w:ascii="Arial" w:hAnsi="Arial" w:eastAsia="Arial" w:cs="Arial"/>
                <w:b/>
                <w:bCs/>
                <w:color w:val="FFFFFF"/>
                <w:sz w:val="20"/>
                <w:szCs w:val="20"/>
              </w:rPr>
              <w:t>Rank</w:t>
            </w:r>
          </w:p>
        </w:tc>
        <w:tc>
          <w:tcPr>
            <w:tcW w:w="2026" w:type="dxa"/>
            <w:tcBorders>
              <w:top w:val="single" w:color="C5CDD8" w:sz="0" w:space="0"/>
              <w:left w:val="single" w:color="C5CDD8" w:sz="0" w:space="0"/>
              <w:bottom w:val="single" w:color="C5CDD8" w:sz="0" w:space="0"/>
              <w:right w:val="single" w:color="C5CDD8" w:sz="0" w:space="0"/>
            </w:tcBorders>
            <w:shd w:val="clear" w:color="auto" w:fill="0D3B7A"/>
            <w:tcMar>
              <w:top w:w="100" w:type="dxa"/>
              <w:left w:w="140" w:type="dxa"/>
              <w:bottom w:w="100" w:type="dxa"/>
              <w:right w:w="140" w:type="dxa"/>
            </w:tcMar>
          </w:tcPr>
          <w:p w14:paraId="5F32AAEE">
            <w:r>
              <w:rPr>
                <w:rFonts w:ascii="Arial" w:hAnsi="Arial" w:eastAsia="Arial" w:cs="Arial"/>
                <w:b/>
                <w:bCs/>
                <w:color w:val="FFFFFF"/>
                <w:sz w:val="20"/>
                <w:szCs w:val="20"/>
              </w:rPr>
              <w:t>Interpretation</w:t>
            </w:r>
          </w:p>
        </w:tc>
      </w:tr>
      <w:tr w14:paraId="4101D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23995D1E">
            <w:r>
              <w:rPr>
                <w:rFonts w:ascii="Arial" w:hAnsi="Arial" w:eastAsia="Arial" w:cs="Arial"/>
                <w:b/>
                <w:bCs/>
                <w:color w:val="1A1A2E"/>
                <w:sz w:val="20"/>
                <w:szCs w:val="20"/>
              </w:rPr>
              <w:t>Attendance %</w:t>
            </w:r>
          </w:p>
        </w:tc>
        <w:tc>
          <w:tcPr>
            <w:tcW w:w="20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7B06B168">
            <w:r>
              <w:rPr>
                <w:rFonts w:ascii="Arial" w:hAnsi="Arial" w:eastAsia="Arial" w:cs="Arial"/>
                <w:b/>
                <w:bCs/>
                <w:color w:val="1A1A2E"/>
                <w:sz w:val="20"/>
                <w:szCs w:val="20"/>
              </w:rPr>
              <w:t>68.0%</w:t>
            </w:r>
          </w:p>
        </w:tc>
        <w:tc>
          <w:tcPr>
            <w:tcW w:w="20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046C4020">
            <w:r>
              <w:rPr>
                <w:rFonts w:ascii="Arial" w:hAnsi="Arial" w:eastAsia="Arial" w:cs="Arial"/>
                <w:b w:val="0"/>
                <w:bCs w:val="0"/>
                <w:color w:val="1A1A2E"/>
                <w:sz w:val="20"/>
                <w:szCs w:val="20"/>
              </w:rPr>
              <w:t>1st (Dominant)</w:t>
            </w:r>
          </w:p>
        </w:tc>
        <w:tc>
          <w:tcPr>
            <w:tcW w:w="2026"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4CD49C94">
            <w:r>
              <w:rPr>
                <w:rFonts w:ascii="Arial" w:hAnsi="Arial" w:eastAsia="Arial" w:cs="Arial"/>
                <w:b w:val="0"/>
                <w:bCs w:val="0"/>
                <w:color w:val="1A1A2E"/>
                <w:sz w:val="20"/>
                <w:szCs w:val="20"/>
              </w:rPr>
              <w:t>Single strongest predictor by a wide margin</w:t>
            </w:r>
          </w:p>
        </w:tc>
      </w:tr>
      <w:tr w14:paraId="719D0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19C0C0A2">
            <w:r>
              <w:rPr>
                <w:rFonts w:ascii="Arial" w:hAnsi="Arial" w:eastAsia="Arial" w:cs="Arial"/>
                <w:b/>
                <w:bCs/>
                <w:color w:val="1A1A2E"/>
                <w:sz w:val="20"/>
                <w:szCs w:val="20"/>
              </w:rPr>
              <w:t>Lab Exam /50</w:t>
            </w:r>
          </w:p>
        </w:tc>
        <w:tc>
          <w:tcPr>
            <w:tcW w:w="20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1E36D1DF">
            <w:r>
              <w:rPr>
                <w:rFonts w:ascii="Arial" w:hAnsi="Arial" w:eastAsia="Arial" w:cs="Arial"/>
                <w:b/>
                <w:bCs/>
                <w:color w:val="1A1A2E"/>
                <w:sz w:val="20"/>
                <w:szCs w:val="20"/>
              </w:rPr>
              <w:t>9.3%</w:t>
            </w:r>
          </w:p>
        </w:tc>
        <w:tc>
          <w:tcPr>
            <w:tcW w:w="20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400446B4">
            <w:r>
              <w:rPr>
                <w:rFonts w:ascii="Arial" w:hAnsi="Arial" w:eastAsia="Arial" w:cs="Arial"/>
                <w:b w:val="0"/>
                <w:bCs w:val="0"/>
                <w:color w:val="1A1A2E"/>
                <w:sz w:val="20"/>
                <w:szCs w:val="20"/>
              </w:rPr>
              <w:t>2nd</w:t>
            </w:r>
          </w:p>
        </w:tc>
        <w:tc>
          <w:tcPr>
            <w:tcW w:w="2026"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084917EE">
            <w:r>
              <w:rPr>
                <w:rFonts w:ascii="Arial" w:hAnsi="Arial" w:eastAsia="Arial" w:cs="Arial"/>
                <w:b w:val="0"/>
                <w:bCs w:val="0"/>
                <w:color w:val="1A1A2E"/>
                <w:sz w:val="20"/>
                <w:szCs w:val="20"/>
              </w:rPr>
              <w:t>Practical skills directly correlated with SEE performance</w:t>
            </w:r>
          </w:p>
        </w:tc>
      </w:tr>
      <w:tr w14:paraId="79745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293C53AC">
            <w:r>
              <w:rPr>
                <w:rFonts w:ascii="Arial" w:hAnsi="Arial" w:eastAsia="Arial" w:cs="Arial"/>
                <w:b/>
                <w:bCs/>
                <w:color w:val="1A1A2E"/>
                <w:sz w:val="20"/>
                <w:szCs w:val="20"/>
              </w:rPr>
              <w:t>CIE-2 /50</w:t>
            </w:r>
          </w:p>
        </w:tc>
        <w:tc>
          <w:tcPr>
            <w:tcW w:w="20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46A59834">
            <w:r>
              <w:rPr>
                <w:rFonts w:ascii="Arial" w:hAnsi="Arial" w:eastAsia="Arial" w:cs="Arial"/>
                <w:b/>
                <w:bCs/>
                <w:color w:val="1A1A2E"/>
                <w:sz w:val="20"/>
                <w:szCs w:val="20"/>
              </w:rPr>
              <w:t>9.2%</w:t>
            </w:r>
          </w:p>
        </w:tc>
        <w:tc>
          <w:tcPr>
            <w:tcW w:w="20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40047DD5">
            <w:r>
              <w:rPr>
                <w:rFonts w:ascii="Arial" w:hAnsi="Arial" w:eastAsia="Arial" w:cs="Arial"/>
                <w:b w:val="0"/>
                <w:bCs w:val="0"/>
                <w:color w:val="1A1A2E"/>
                <w:sz w:val="20"/>
                <w:szCs w:val="20"/>
              </w:rPr>
              <w:t>3rd</w:t>
            </w:r>
          </w:p>
        </w:tc>
        <w:tc>
          <w:tcPr>
            <w:tcW w:w="2026"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541C4858">
            <w:r>
              <w:rPr>
                <w:rFonts w:ascii="Arial" w:hAnsi="Arial" w:eastAsia="Arial" w:cs="Arial"/>
                <w:b w:val="0"/>
                <w:bCs w:val="0"/>
                <w:color w:val="1A1A2E"/>
                <w:sz w:val="20"/>
                <w:szCs w:val="20"/>
              </w:rPr>
              <w:t>Later assessment; more predictive than CIE-1</w:t>
            </w:r>
          </w:p>
        </w:tc>
      </w:tr>
      <w:tr w14:paraId="59C7B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451AEB2A">
            <w:r>
              <w:rPr>
                <w:rFonts w:ascii="Arial" w:hAnsi="Arial" w:eastAsia="Arial" w:cs="Arial"/>
                <w:b/>
                <w:bCs/>
                <w:color w:val="1A1A2E"/>
                <w:sz w:val="20"/>
                <w:szCs w:val="20"/>
              </w:rPr>
              <w:t>CIE-1 /50</w:t>
            </w:r>
          </w:p>
        </w:tc>
        <w:tc>
          <w:tcPr>
            <w:tcW w:w="20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4F4EF856">
            <w:r>
              <w:rPr>
                <w:rFonts w:ascii="Arial" w:hAnsi="Arial" w:eastAsia="Arial" w:cs="Arial"/>
                <w:b/>
                <w:bCs/>
                <w:color w:val="1A1A2E"/>
                <w:sz w:val="20"/>
                <w:szCs w:val="20"/>
              </w:rPr>
              <w:t>6.5%</w:t>
            </w:r>
          </w:p>
        </w:tc>
        <w:tc>
          <w:tcPr>
            <w:tcW w:w="20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17A931BE">
            <w:r>
              <w:rPr>
                <w:rFonts w:ascii="Arial" w:hAnsi="Arial" w:eastAsia="Arial" w:cs="Arial"/>
                <w:b w:val="0"/>
                <w:bCs w:val="0"/>
                <w:color w:val="1A1A2E"/>
                <w:sz w:val="20"/>
                <w:szCs w:val="20"/>
              </w:rPr>
              <w:t>4th</w:t>
            </w:r>
          </w:p>
        </w:tc>
        <w:tc>
          <w:tcPr>
            <w:tcW w:w="2026"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60618D01">
            <w:r>
              <w:rPr>
                <w:rFonts w:ascii="Arial" w:hAnsi="Arial" w:eastAsia="Arial" w:cs="Arial"/>
                <w:b w:val="0"/>
                <w:bCs w:val="0"/>
                <w:color w:val="1A1A2E"/>
                <w:sz w:val="20"/>
                <w:szCs w:val="20"/>
              </w:rPr>
              <w:t>Earlier assessment; useful but noisier signal</w:t>
            </w:r>
          </w:p>
        </w:tc>
      </w:tr>
      <w:tr w14:paraId="26C48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4210847B">
            <w:r>
              <w:rPr>
                <w:rFonts w:ascii="Arial" w:hAnsi="Arial" w:eastAsia="Arial" w:cs="Arial"/>
                <w:b/>
                <w:bCs/>
                <w:color w:val="1A1A2E"/>
                <w:sz w:val="20"/>
                <w:szCs w:val="20"/>
              </w:rPr>
              <w:t>Assignment /20</w:t>
            </w:r>
          </w:p>
        </w:tc>
        <w:tc>
          <w:tcPr>
            <w:tcW w:w="20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53047BB9">
            <w:r>
              <w:rPr>
                <w:rFonts w:ascii="Arial" w:hAnsi="Arial" w:eastAsia="Arial" w:cs="Arial"/>
                <w:b/>
                <w:bCs/>
                <w:color w:val="1A1A2E"/>
                <w:sz w:val="20"/>
                <w:szCs w:val="20"/>
              </w:rPr>
              <w:t>4.7%</w:t>
            </w:r>
          </w:p>
        </w:tc>
        <w:tc>
          <w:tcPr>
            <w:tcW w:w="20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4E862289">
            <w:r>
              <w:rPr>
                <w:rFonts w:ascii="Arial" w:hAnsi="Arial" w:eastAsia="Arial" w:cs="Arial"/>
                <w:b w:val="0"/>
                <w:bCs w:val="0"/>
                <w:color w:val="1A1A2E"/>
                <w:sz w:val="20"/>
                <w:szCs w:val="20"/>
              </w:rPr>
              <w:t>5th</w:t>
            </w:r>
          </w:p>
        </w:tc>
        <w:tc>
          <w:tcPr>
            <w:tcW w:w="2026"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57C34AF1">
            <w:r>
              <w:rPr>
                <w:rFonts w:ascii="Arial" w:hAnsi="Arial" w:eastAsia="Arial" w:cs="Arial"/>
                <w:b w:val="0"/>
                <w:bCs w:val="0"/>
                <w:color w:val="1A1A2E"/>
                <w:sz w:val="20"/>
                <w:szCs w:val="20"/>
              </w:rPr>
              <w:t>Proxy for student engagement and compliance</w:t>
            </w:r>
          </w:p>
        </w:tc>
      </w:tr>
      <w:tr w14:paraId="35A9C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72EB67CD">
            <w:r>
              <w:rPr>
                <w:rFonts w:ascii="Arial" w:hAnsi="Arial" w:eastAsia="Arial" w:cs="Arial"/>
                <w:b/>
                <w:bCs/>
                <w:color w:val="1A1A2E"/>
                <w:sz w:val="20"/>
                <w:szCs w:val="20"/>
              </w:rPr>
              <w:t>Viva /20</w:t>
            </w:r>
          </w:p>
        </w:tc>
        <w:tc>
          <w:tcPr>
            <w:tcW w:w="20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3B6879A8">
            <w:r>
              <w:rPr>
                <w:rFonts w:ascii="Arial" w:hAnsi="Arial" w:eastAsia="Arial" w:cs="Arial"/>
                <w:b/>
                <w:bCs/>
                <w:color w:val="1A1A2E"/>
                <w:sz w:val="20"/>
                <w:szCs w:val="20"/>
              </w:rPr>
              <w:t>2.5%</w:t>
            </w:r>
          </w:p>
        </w:tc>
        <w:tc>
          <w:tcPr>
            <w:tcW w:w="20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5E702FE3">
            <w:r>
              <w:rPr>
                <w:rFonts w:ascii="Arial" w:hAnsi="Arial" w:eastAsia="Arial" w:cs="Arial"/>
                <w:b w:val="0"/>
                <w:bCs w:val="0"/>
                <w:color w:val="1A1A2E"/>
                <w:sz w:val="20"/>
                <w:szCs w:val="20"/>
              </w:rPr>
              <w:t>6th</w:t>
            </w:r>
          </w:p>
        </w:tc>
        <w:tc>
          <w:tcPr>
            <w:tcW w:w="2026"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78B5D101">
            <w:r>
              <w:rPr>
                <w:rFonts w:ascii="Arial" w:hAnsi="Arial" w:eastAsia="Arial" w:cs="Arial"/>
                <w:b w:val="0"/>
                <w:bCs w:val="0"/>
                <w:color w:val="1A1A2E"/>
                <w:sz w:val="20"/>
                <w:szCs w:val="20"/>
              </w:rPr>
              <w:t>Weakest predictor; high examiner variability</w:t>
            </w:r>
          </w:p>
        </w:tc>
      </w:tr>
    </w:tbl>
    <w:p w14:paraId="7FE9E228">
      <w:pPr>
        <w:spacing w:before="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3EAA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2410C" w:sz="6" w:space="0"/>
              <w:left w:val="single" w:color="C2410C" w:sz="16" w:space="0"/>
              <w:bottom w:val="single" w:color="C2410C" w:sz="2" w:space="0"/>
              <w:right w:val="single" w:color="C2410C" w:sz="2" w:space="0"/>
            </w:tcBorders>
            <w:shd w:val="clear" w:color="auto" w:fill="FFF7ED"/>
            <w:tcMar>
              <w:top w:w="100" w:type="dxa"/>
              <w:left w:w="180" w:type="dxa"/>
              <w:bottom w:w="100" w:type="dxa"/>
              <w:right w:w="140" w:type="dxa"/>
            </w:tcMar>
          </w:tcPr>
          <w:p w14:paraId="1A7B5A45">
            <w:pPr>
              <w:spacing w:before="0" w:after="60"/>
            </w:pPr>
            <w:r>
              <w:rPr>
                <w:rFonts w:ascii="Arial" w:hAnsi="Arial" w:eastAsia="Arial" w:cs="Arial"/>
                <w:b/>
                <w:bCs/>
                <w:color w:val="C2410C"/>
                <w:sz w:val="21"/>
                <w:szCs w:val="21"/>
              </w:rPr>
              <w:t>🔑  Key Finding</w:t>
            </w:r>
          </w:p>
          <w:p w14:paraId="241455BD">
            <w:pPr>
              <w:spacing w:before="0" w:after="0"/>
            </w:pPr>
            <w:r>
              <w:rPr>
                <w:rFonts w:ascii="Arial" w:hAnsi="Arial" w:eastAsia="Arial" w:cs="Arial"/>
                <w:color w:val="1A1A2E"/>
                <w:sz w:val="20"/>
                <w:szCs w:val="20"/>
              </w:rPr>
              <w:t>Attendance alone accounts for 68% of the predictive power. A student with very strong CIE scores but attendance below 65% is still predicted FAIL by the model — consistent with VTU's mandatory attendance eligibility rule. This is not an artefact of the data; it is the real mechanism by which students fail in the programme.</w:t>
            </w:r>
          </w:p>
        </w:tc>
      </w:tr>
    </w:tbl>
    <w:p w14:paraId="3E9AC513">
      <w:pPr>
        <w:spacing w:before="0" w:after="80"/>
      </w:pPr>
    </w:p>
    <w:p w14:paraId="4A5029F8">
      <w:pPr>
        <w:pStyle w:val="3"/>
        <w:spacing w:before="300" w:after="100"/>
      </w:pPr>
      <w:r>
        <w:rPr>
          <w:rFonts w:ascii="Arial" w:hAnsi="Arial" w:eastAsia="Arial" w:cs="Arial"/>
          <w:b/>
          <w:bCs/>
          <w:color w:val="1A56B0"/>
          <w:sz w:val="27"/>
          <w:szCs w:val="27"/>
        </w:rPr>
        <w:t>4.4 The JavaScript Decision Tree — Runtime Inference</w:t>
      </w:r>
    </w:p>
    <w:p w14:paraId="5AF35247">
      <w:pPr>
        <w:spacing w:before="80" w:after="80" w:line="290" w:lineRule="auto"/>
      </w:pPr>
      <w:r>
        <w:rPr>
          <w:rFonts w:ascii="Arial" w:hAnsi="Arial" w:eastAsia="Arial" w:cs="Arial"/>
          <w:color w:val="1A1A2E"/>
          <w:sz w:val="22"/>
          <w:szCs w:val="22"/>
        </w:rPr>
        <w:t>The JavaScript Decision Tree (mlPredict() function) implements a hierarchical cascade of threshold tests that mirrors the dominant decision paths identified by the Gradient Boosting model. The tree is structured primarily around Attendance %, with CIE Average and Lab Score as secondary branching criteria. The full logic is documented below:</w:t>
      </w:r>
    </w:p>
    <w:p w14:paraId="06D1C0A1">
      <w:pPr>
        <w:spacing w:before="0" w:after="80"/>
      </w:pPr>
    </w:p>
    <w:p w14:paraId="7B70170B">
      <w:pPr>
        <w:pStyle w:val="4"/>
        <w:spacing w:before="220" w:after="80"/>
      </w:pPr>
      <w:r>
        <w:rPr>
          <w:rFonts w:ascii="Arial" w:hAnsi="Arial" w:eastAsia="Arial" w:cs="Arial"/>
          <w:b/>
          <w:bCs/>
          <w:color w:val="0F766E"/>
          <w:sz w:val="23"/>
          <w:szCs w:val="23"/>
        </w:rPr>
        <w:t>Branch 1 — Attendance &lt; 45% (FAIL, HIGH confidence)</w:t>
      </w:r>
    </w:p>
    <w:p w14:paraId="40BE068D">
      <w:pPr>
        <w:spacing w:before="80" w:after="80" w:line="290" w:lineRule="auto"/>
      </w:pPr>
      <w:r>
        <w:rPr>
          <w:rFonts w:ascii="Arial" w:hAnsi="Arial" w:eastAsia="Arial" w:cs="Arial"/>
          <w:color w:val="1A1A2E"/>
          <w:sz w:val="22"/>
          <w:szCs w:val="22"/>
        </w:rPr>
        <w:t>Any student with attendance below 45% is classified FAIL with 88% probability (P_FAIL=0.88). This represents a mathematically irrecoverable attendance deficit: even with perfect attendance for all remaining classes, achieving 75% eligibility is impossible beyond approximately Week 7 of the semester.</w:t>
      </w:r>
    </w:p>
    <w:p w14:paraId="5B0C80C4">
      <w:pPr>
        <w:spacing w:before="0" w:after="80"/>
      </w:pPr>
    </w:p>
    <w:p w14:paraId="5F2C78F6">
      <w:pPr>
        <w:pStyle w:val="4"/>
        <w:spacing w:before="220" w:after="80"/>
        <w:rPr>
          <w:rFonts w:ascii="Arial" w:hAnsi="Arial" w:eastAsia="Arial" w:cs="Arial"/>
          <w:b/>
          <w:bCs/>
          <w:color w:val="0F766E"/>
          <w:sz w:val="23"/>
          <w:szCs w:val="23"/>
        </w:rPr>
      </w:pPr>
    </w:p>
    <w:p w14:paraId="699919A3">
      <w:pPr>
        <w:pStyle w:val="4"/>
        <w:spacing w:before="220" w:after="80"/>
      </w:pPr>
      <w:r>
        <w:rPr>
          <w:rFonts w:ascii="Arial" w:hAnsi="Arial" w:eastAsia="Arial" w:cs="Arial"/>
          <w:b/>
          <w:bCs/>
          <w:color w:val="0F766E"/>
          <w:sz w:val="23"/>
          <w:szCs w:val="23"/>
        </w:rPr>
        <w:t>Branch 2 — Attendance 45–54%</w:t>
      </w:r>
    </w:p>
    <w:p w14:paraId="7E34A1B0">
      <w:pPr>
        <w:spacing w:before="80" w:after="80" w:line="290" w:lineRule="auto"/>
      </w:pPr>
      <w:r>
        <w:rPr>
          <w:rFonts w:ascii="Arial" w:hAnsi="Arial" w:eastAsia="Arial" w:cs="Arial"/>
          <w:color w:val="1A1A2E"/>
          <w:sz w:val="22"/>
          <w:szCs w:val="22"/>
        </w:rPr>
        <w:t>Split on CIE and Lab performance: if CIE average &lt; 12/50 OR Lab &lt; 12/50, FAIL HIGH confidence (P_FAIL=0.82). Otherwise FAIL with moderate confidence (P_FAIL=0.68). Both paths predict FAIL but the probability reflects the additional margin available from acceptable internal marks.</w:t>
      </w:r>
    </w:p>
    <w:p w14:paraId="27535940">
      <w:pPr>
        <w:spacing w:before="0" w:after="80"/>
      </w:pPr>
    </w:p>
    <w:p w14:paraId="719AFA89">
      <w:pPr>
        <w:pStyle w:val="4"/>
        <w:spacing w:before="220" w:after="80"/>
      </w:pPr>
      <w:r>
        <w:rPr>
          <w:rFonts w:ascii="Arial" w:hAnsi="Arial" w:eastAsia="Arial" w:cs="Arial"/>
          <w:b/>
          <w:bCs/>
          <w:color w:val="0F766E"/>
          <w:sz w:val="23"/>
          <w:szCs w:val="23"/>
        </w:rPr>
        <w:t>Branch 3 — Attendance 55–64%</w:t>
      </w:r>
    </w:p>
    <w:p w14:paraId="3A78D66F">
      <w:pPr>
        <w:spacing w:before="80" w:after="80" w:line="290" w:lineRule="auto"/>
      </w:pPr>
      <w:r>
        <w:rPr>
          <w:rFonts w:ascii="Arial" w:hAnsi="Arial" w:eastAsia="Arial" w:cs="Arial"/>
          <w:color w:val="1A1A2E"/>
          <w:sz w:val="22"/>
          <w:szCs w:val="22"/>
        </w:rPr>
        <w:t>A compound risk factor score fs is computed: fs = (65 − attendance)/15 + max(0, (18 − CIE_avg)/40). If CIE &lt; 14 OR fs &gt; 0.9 → FAIL HIGH. If CIE &lt; 20 → AT RISK MEDIUM (P_PASS=0.22, P_AT_RISK=0.52, P_FAIL=0.26). Otherwise AT RISK MEDIUM with slightly better pass probability (P_PASS=0.28).</w:t>
      </w:r>
    </w:p>
    <w:p w14:paraId="6847B549">
      <w:pPr>
        <w:spacing w:before="0" w:after="80"/>
      </w:pPr>
    </w:p>
    <w:p w14:paraId="03B1AB7F">
      <w:pPr>
        <w:pStyle w:val="4"/>
        <w:spacing w:before="220" w:after="80"/>
      </w:pPr>
      <w:r>
        <w:rPr>
          <w:rFonts w:ascii="Arial" w:hAnsi="Arial" w:eastAsia="Arial" w:cs="Arial"/>
          <w:b/>
          <w:bCs/>
          <w:color w:val="0F766E"/>
          <w:sz w:val="23"/>
          <w:szCs w:val="23"/>
        </w:rPr>
        <w:t>Branch 4 — Attendance 65–74% (Below VTU Minimum)</w:t>
      </w:r>
    </w:p>
    <w:p w14:paraId="0DADDF76">
      <w:pPr>
        <w:spacing w:before="80" w:after="80" w:line="290" w:lineRule="auto"/>
      </w:pPr>
      <w:r>
        <w:rPr>
          <w:rFonts w:ascii="Arial" w:hAnsi="Arial" w:eastAsia="Arial" w:cs="Arial"/>
          <w:color w:val="1A1A2E"/>
          <w:sz w:val="22"/>
          <w:szCs w:val="22"/>
        </w:rPr>
        <w:t>Four sub-branches: Lab &lt; 16 → FAIL MEDIUM (P_FAIL=0.62). CIE &lt; 16 → FAIL MEDIUM (P_FAIL=0.60). CIE &lt; 22 → AT RISK MEDIUM. All other cases → AT RISK LOW (P_PASS=0.38). Note: attendance in this band is below VTU's 75% minimum, but with condonation and strong internal marks, passing is possible.</w:t>
      </w:r>
    </w:p>
    <w:p w14:paraId="023964CB">
      <w:pPr>
        <w:spacing w:before="0" w:after="80"/>
      </w:pPr>
    </w:p>
    <w:p w14:paraId="0E56840B">
      <w:pPr>
        <w:pStyle w:val="4"/>
        <w:spacing w:before="220" w:after="80"/>
      </w:pPr>
      <w:r>
        <w:rPr>
          <w:rFonts w:ascii="Arial" w:hAnsi="Arial" w:eastAsia="Arial" w:cs="Arial"/>
          <w:b/>
          <w:bCs/>
          <w:color w:val="0F766E"/>
          <w:sz w:val="23"/>
          <w:szCs w:val="23"/>
        </w:rPr>
        <w:t>Branch 5 — Attendance ≥ 75% (Above Minimum)</w:t>
      </w:r>
    </w:p>
    <w:p w14:paraId="3FD0A3EF">
      <w:pPr>
        <w:spacing w:before="80" w:after="80" w:line="290" w:lineRule="auto"/>
      </w:pPr>
      <w:r>
        <w:rPr>
          <w:rFonts w:ascii="Arial" w:hAnsi="Arial" w:eastAsia="Arial" w:cs="Arial"/>
          <w:color w:val="1A1A2E"/>
          <w:sz w:val="22"/>
          <w:szCs w:val="22"/>
        </w:rPr>
        <w:t>The critical high-performance and marginal-pass zone. Five sub-branches in decreasing risk order:</w:t>
      </w:r>
    </w:p>
    <w:p w14:paraId="16CE5DEC">
      <w:pPr>
        <w:pStyle w:val="16"/>
        <w:numPr>
          <w:ilvl w:val="0"/>
          <w:numId w:val="3"/>
        </w:numPr>
        <w:spacing w:before="40" w:after="40" w:line="260" w:lineRule="auto"/>
      </w:pPr>
      <w:r>
        <w:rPr>
          <w:rFonts w:ascii="Arial" w:hAnsi="Arial" w:eastAsia="Arial" w:cs="Arial"/>
          <w:color w:val="475569"/>
          <w:sz w:val="20"/>
          <w:szCs w:val="20"/>
        </w:rPr>
        <w:t>CIE &lt; 16 AND attendance &lt; 80 → FAIL MEDIUM (P_FAIL=0.60). Strong attendance cannot compensate for critically low CIE scores.</w:t>
      </w:r>
    </w:p>
    <w:p w14:paraId="6149A353">
      <w:pPr>
        <w:pStyle w:val="16"/>
        <w:numPr>
          <w:ilvl w:val="0"/>
          <w:numId w:val="3"/>
        </w:numPr>
        <w:spacing w:before="40" w:after="40" w:line="260" w:lineRule="auto"/>
      </w:pPr>
      <w:r>
        <w:rPr>
          <w:rFonts w:ascii="Arial" w:hAnsi="Arial" w:eastAsia="Arial" w:cs="Arial"/>
          <w:color w:val="475569"/>
          <w:sz w:val="20"/>
          <w:szCs w:val="20"/>
        </w:rPr>
        <w:t>CIE &lt; 16 AND attendance ≥ 80 → AT RISK MEDIUM (P_FAIL=0.22).</w:t>
      </w:r>
    </w:p>
    <w:p w14:paraId="2B885F0C">
      <w:pPr>
        <w:pStyle w:val="16"/>
        <w:numPr>
          <w:ilvl w:val="0"/>
          <w:numId w:val="3"/>
        </w:numPr>
        <w:spacing w:before="40" w:after="40" w:line="260" w:lineRule="auto"/>
      </w:pPr>
      <w:r>
        <w:rPr>
          <w:rFonts w:ascii="Arial" w:hAnsi="Arial" w:eastAsia="Arial" w:cs="Arial"/>
          <w:color w:val="475569"/>
          <w:sz w:val="20"/>
          <w:szCs w:val="20"/>
        </w:rPr>
        <w:t>CIE &lt; 20 AND attendance &lt; 82 → AT RISK MEDIUM (P_FAIL=0.21).</w:t>
      </w:r>
    </w:p>
    <w:p w14:paraId="6F9B42A8">
      <w:pPr>
        <w:pStyle w:val="16"/>
        <w:numPr>
          <w:ilvl w:val="0"/>
          <w:numId w:val="3"/>
        </w:numPr>
        <w:spacing w:before="40" w:after="40" w:line="260" w:lineRule="auto"/>
      </w:pPr>
      <w:r>
        <w:rPr>
          <w:rFonts w:ascii="Arial" w:hAnsi="Arial" w:eastAsia="Arial" w:cs="Arial"/>
          <w:color w:val="475569"/>
          <w:sz w:val="20"/>
          <w:szCs w:val="20"/>
        </w:rPr>
        <w:t>CIE &gt; 35 AND attendance &gt; 85 AND assignment &gt; 15 AND lab &gt; 35 → PASS HIGH (P_PASS=0.95). The 'star student' profile.</w:t>
      </w:r>
    </w:p>
    <w:p w14:paraId="3CD2D049">
      <w:pPr>
        <w:pStyle w:val="16"/>
        <w:numPr>
          <w:ilvl w:val="0"/>
          <w:numId w:val="3"/>
        </w:numPr>
        <w:spacing w:before="40" w:after="40" w:line="260" w:lineRule="auto"/>
      </w:pPr>
      <w:r>
        <w:rPr>
          <w:rFonts w:ascii="Arial" w:hAnsi="Arial" w:eastAsia="Arial" w:cs="Arial"/>
          <w:color w:val="475569"/>
          <w:sz w:val="20"/>
          <w:szCs w:val="20"/>
        </w:rPr>
        <w:t>CIE &gt; 28 AND attendance &gt; 78 AND lab &gt; 26 → PASS HIGH (P_PASS=0.88).</w:t>
      </w:r>
    </w:p>
    <w:p w14:paraId="332ACE7A">
      <w:pPr>
        <w:pStyle w:val="16"/>
        <w:numPr>
          <w:ilvl w:val="0"/>
          <w:numId w:val="3"/>
        </w:numPr>
        <w:spacing w:before="40" w:after="40" w:line="260" w:lineRule="auto"/>
      </w:pPr>
      <w:r>
        <w:rPr>
          <w:rFonts w:ascii="Arial" w:hAnsi="Arial" w:eastAsia="Arial" w:cs="Arial"/>
          <w:color w:val="475569"/>
          <w:sz w:val="20"/>
          <w:szCs w:val="20"/>
        </w:rPr>
        <w:t>All other cases: linear combination p = att/100 × 0.50 + CIE/50 × 0.35 + lab/50 × 0.15. Label is PASS if p &gt; 0.65, AT RISK otherwise.</w:t>
      </w:r>
    </w:p>
    <w:p w14:paraId="5A6D8A31">
      <w:pPr>
        <w:spacing w:before="0" w:after="80"/>
      </w:pPr>
    </w:p>
    <w:p w14:paraId="408BB016">
      <w:pPr>
        <w:pStyle w:val="3"/>
        <w:spacing w:before="300" w:after="100"/>
      </w:pPr>
      <w:r>
        <w:rPr>
          <w:rFonts w:ascii="Arial" w:hAnsi="Arial" w:eastAsia="Arial" w:cs="Arial"/>
          <w:b/>
          <w:bCs/>
          <w:color w:val="1A56B0"/>
          <w:sz w:val="27"/>
          <w:szCs w:val="27"/>
        </w:rPr>
        <w:t>4.5 Confidence Levels</w:t>
      </w:r>
    </w:p>
    <w:p w14:paraId="03A0801D">
      <w:pPr>
        <w:spacing w:before="80" w:after="80" w:line="290" w:lineRule="auto"/>
      </w:pPr>
      <w:r>
        <w:rPr>
          <w:rFonts w:ascii="Arial" w:hAnsi="Arial" w:eastAsia="Arial" w:cs="Arial"/>
          <w:color w:val="1A1A2E"/>
          <w:sz w:val="22"/>
          <w:szCs w:val="22"/>
        </w:rPr>
        <w:t>Every prediction is tagged with one of three confidence levels (HIGH / MEDIUM / LOW) that reflect the certainty of the tree path taken:</w:t>
      </w:r>
    </w:p>
    <w:p w14:paraId="081DF9DD">
      <w:pPr>
        <w:spacing w:before="0" w:after="80"/>
      </w:pPr>
    </w:p>
    <w:p w14:paraId="1F8EAD1B">
      <w:pPr>
        <w:pStyle w:val="16"/>
        <w:numPr>
          <w:ilvl w:val="0"/>
          <w:numId w:val="1"/>
        </w:numPr>
        <w:spacing w:before="50" w:after="50" w:line="270" w:lineRule="auto"/>
      </w:pPr>
      <w:r>
        <w:rPr>
          <w:rFonts w:ascii="Arial" w:hAnsi="Arial" w:eastAsia="Arial" w:cs="Arial"/>
          <w:color w:val="1A1A2E"/>
          <w:sz w:val="21"/>
          <w:szCs w:val="21"/>
        </w:rPr>
        <w:t>HIGH: The student falls into a well-populated, historically homogeneous branch — outcomes in this region are highly predictable. P_FAIL &gt; 0.60 or P_PASS &gt; 0.85.</w:t>
      </w:r>
    </w:p>
    <w:p w14:paraId="30D8371D">
      <w:pPr>
        <w:pStyle w:val="16"/>
        <w:numPr>
          <w:ilvl w:val="0"/>
          <w:numId w:val="1"/>
        </w:numPr>
        <w:spacing w:before="50" w:after="50" w:line="270" w:lineRule="auto"/>
      </w:pPr>
      <w:r>
        <w:rPr>
          <w:rFonts w:ascii="Arial" w:hAnsi="Arial" w:eastAsia="Arial" w:cs="Arial"/>
          <w:color w:val="1A1A2E"/>
          <w:sz w:val="21"/>
          <w:szCs w:val="21"/>
        </w:rPr>
        <w:t>MEDIUM: The student is in a transitional zone where historical outcomes were mixed. The prediction is the most likely outcome but not overwhelmingly so. P values in the 0.40–0.60 range.</w:t>
      </w:r>
    </w:p>
    <w:p w14:paraId="6D49B286">
      <w:pPr>
        <w:pStyle w:val="16"/>
        <w:numPr>
          <w:ilvl w:val="0"/>
          <w:numId w:val="1"/>
        </w:numPr>
        <w:spacing w:before="50" w:after="50" w:line="270" w:lineRule="auto"/>
      </w:pPr>
      <w:r>
        <w:rPr>
          <w:rFonts w:ascii="Arial" w:hAnsi="Arial" w:eastAsia="Arial" w:cs="Arial"/>
          <w:color w:val="1A1A2E"/>
          <w:sz w:val="21"/>
          <w:szCs w:val="21"/>
        </w:rPr>
        <w:t>LOW: The student is in the boundary region. The model cannot distinguish confidently between AT RISK and PASS. The confidence level prompts the AI narrative engine to explicitly flag the uncertainty to faculty.</w:t>
      </w:r>
    </w:p>
    <w:p w14:paraId="676A07DB">
      <w:pPr>
        <w:spacing w:before="0" w:after="80"/>
      </w:pPr>
    </w:p>
    <w:p w14:paraId="4A30FC8C">
      <w:pPr>
        <w:pStyle w:val="3"/>
        <w:spacing w:before="300" w:after="100"/>
        <w:rPr>
          <w:rFonts w:ascii="Arial" w:hAnsi="Arial" w:eastAsia="Arial" w:cs="Arial"/>
          <w:b/>
          <w:bCs/>
          <w:color w:val="1A56B0"/>
          <w:sz w:val="27"/>
          <w:szCs w:val="27"/>
        </w:rPr>
      </w:pPr>
    </w:p>
    <w:p w14:paraId="29B96548">
      <w:pPr>
        <w:pStyle w:val="3"/>
        <w:spacing w:before="300" w:after="100"/>
      </w:pPr>
      <w:r>
        <w:rPr>
          <w:rFonts w:ascii="Arial" w:hAnsi="Arial" w:eastAsia="Arial" w:cs="Arial"/>
          <w:b/>
          <w:bCs/>
          <w:color w:val="1A56B0"/>
          <w:sz w:val="27"/>
          <w:szCs w:val="27"/>
        </w:rPr>
        <w:t>4.6 Model Performance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000"/>
        <w:gridCol w:w="2000"/>
        <w:gridCol w:w="2026"/>
      </w:tblGrid>
      <w:tr w14:paraId="069AC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5CDD8" w:sz="0" w:space="0"/>
              <w:left w:val="single" w:color="C5CDD8" w:sz="0" w:space="0"/>
              <w:bottom w:val="single" w:color="C5CDD8" w:sz="0" w:space="0"/>
              <w:right w:val="single" w:color="C5CDD8" w:sz="0" w:space="0"/>
            </w:tcBorders>
            <w:shd w:val="clear" w:color="auto" w:fill="0D3B7A"/>
            <w:tcMar>
              <w:top w:w="100" w:type="dxa"/>
              <w:left w:w="140" w:type="dxa"/>
              <w:bottom w:w="100" w:type="dxa"/>
              <w:right w:w="140" w:type="dxa"/>
            </w:tcMar>
          </w:tcPr>
          <w:p w14:paraId="56A14A8E">
            <w:r>
              <w:rPr>
                <w:rFonts w:ascii="Arial" w:hAnsi="Arial" w:eastAsia="Arial" w:cs="Arial"/>
                <w:b/>
                <w:bCs/>
                <w:color w:val="FFFFFF"/>
                <w:sz w:val="20"/>
                <w:szCs w:val="20"/>
              </w:rPr>
              <w:t>Metric</w:t>
            </w:r>
          </w:p>
        </w:tc>
        <w:tc>
          <w:tcPr>
            <w:tcW w:w="2000" w:type="dxa"/>
            <w:tcBorders>
              <w:top w:val="single" w:color="C5CDD8" w:sz="0" w:space="0"/>
              <w:left w:val="single" w:color="C5CDD8" w:sz="0" w:space="0"/>
              <w:bottom w:val="single" w:color="C5CDD8" w:sz="0" w:space="0"/>
              <w:right w:val="single" w:color="C5CDD8" w:sz="0" w:space="0"/>
            </w:tcBorders>
            <w:shd w:val="clear" w:color="auto" w:fill="0D3B7A"/>
            <w:tcMar>
              <w:top w:w="100" w:type="dxa"/>
              <w:left w:w="140" w:type="dxa"/>
              <w:bottom w:w="100" w:type="dxa"/>
              <w:right w:w="140" w:type="dxa"/>
            </w:tcMar>
          </w:tcPr>
          <w:p w14:paraId="0EFE65E6">
            <w:r>
              <w:rPr>
                <w:rFonts w:ascii="Arial" w:hAnsi="Arial" w:eastAsia="Arial" w:cs="Arial"/>
                <w:b/>
                <w:bCs/>
                <w:color w:val="FFFFFF"/>
                <w:sz w:val="20"/>
                <w:szCs w:val="20"/>
              </w:rPr>
              <w:t>Training Set</w:t>
            </w:r>
          </w:p>
        </w:tc>
        <w:tc>
          <w:tcPr>
            <w:tcW w:w="2000" w:type="dxa"/>
            <w:tcBorders>
              <w:top w:val="single" w:color="C5CDD8" w:sz="0" w:space="0"/>
              <w:left w:val="single" w:color="C5CDD8" w:sz="0" w:space="0"/>
              <w:bottom w:val="single" w:color="C5CDD8" w:sz="0" w:space="0"/>
              <w:right w:val="single" w:color="C5CDD8" w:sz="0" w:space="0"/>
            </w:tcBorders>
            <w:shd w:val="clear" w:color="auto" w:fill="0D3B7A"/>
            <w:tcMar>
              <w:top w:w="100" w:type="dxa"/>
              <w:left w:w="140" w:type="dxa"/>
              <w:bottom w:w="100" w:type="dxa"/>
              <w:right w:w="140" w:type="dxa"/>
            </w:tcMar>
          </w:tcPr>
          <w:p w14:paraId="547391B6">
            <w:r>
              <w:rPr>
                <w:rFonts w:ascii="Arial" w:hAnsi="Arial" w:eastAsia="Arial" w:cs="Arial"/>
                <w:b/>
                <w:bCs/>
                <w:color w:val="FFFFFF"/>
                <w:sz w:val="20"/>
                <w:szCs w:val="20"/>
              </w:rPr>
              <w:t>5-Fold CV</w:t>
            </w:r>
          </w:p>
        </w:tc>
        <w:tc>
          <w:tcPr>
            <w:tcW w:w="2026" w:type="dxa"/>
            <w:tcBorders>
              <w:top w:val="single" w:color="C5CDD8" w:sz="0" w:space="0"/>
              <w:left w:val="single" w:color="C5CDD8" w:sz="0" w:space="0"/>
              <w:bottom w:val="single" w:color="C5CDD8" w:sz="0" w:space="0"/>
              <w:right w:val="single" w:color="C5CDD8" w:sz="0" w:space="0"/>
            </w:tcBorders>
            <w:shd w:val="clear" w:color="auto" w:fill="0D3B7A"/>
            <w:tcMar>
              <w:top w:w="100" w:type="dxa"/>
              <w:left w:w="140" w:type="dxa"/>
              <w:bottom w:w="100" w:type="dxa"/>
              <w:right w:w="140" w:type="dxa"/>
            </w:tcMar>
          </w:tcPr>
          <w:p w14:paraId="52715B47">
            <w:r>
              <w:rPr>
                <w:rFonts w:ascii="Arial" w:hAnsi="Arial" w:eastAsia="Arial" w:cs="Arial"/>
                <w:b/>
                <w:bCs/>
                <w:color w:val="FFFFFF"/>
                <w:sz w:val="20"/>
                <w:szCs w:val="20"/>
              </w:rPr>
              <w:t>Hold-out Test</w:t>
            </w:r>
          </w:p>
        </w:tc>
      </w:tr>
      <w:tr w14:paraId="51D82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0CBBE1BC">
            <w:r>
              <w:rPr>
                <w:rFonts w:ascii="Arial" w:hAnsi="Arial" w:eastAsia="Arial" w:cs="Arial"/>
                <w:b/>
                <w:bCs/>
                <w:color w:val="1A1A2E"/>
                <w:sz w:val="20"/>
                <w:szCs w:val="20"/>
              </w:rPr>
              <w:t>Overall Accuracy</w:t>
            </w:r>
          </w:p>
        </w:tc>
        <w:tc>
          <w:tcPr>
            <w:tcW w:w="20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250440EB">
            <w:r>
              <w:rPr>
                <w:rFonts w:ascii="Arial" w:hAnsi="Arial" w:eastAsia="Arial" w:cs="Arial"/>
                <w:b w:val="0"/>
                <w:bCs w:val="0"/>
                <w:color w:val="1A1A2E"/>
                <w:sz w:val="20"/>
                <w:szCs w:val="20"/>
              </w:rPr>
              <w:t>—</w:t>
            </w:r>
          </w:p>
        </w:tc>
        <w:tc>
          <w:tcPr>
            <w:tcW w:w="20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1CDD948C">
            <w:r>
              <w:rPr>
                <w:rFonts w:ascii="Arial" w:hAnsi="Arial" w:eastAsia="Arial" w:cs="Arial"/>
                <w:b w:val="0"/>
                <w:bCs w:val="0"/>
                <w:color w:val="1A1A2E"/>
                <w:sz w:val="20"/>
                <w:szCs w:val="20"/>
              </w:rPr>
              <w:t>93.1% (±2.3%)</w:t>
            </w:r>
          </w:p>
        </w:tc>
        <w:tc>
          <w:tcPr>
            <w:tcW w:w="2026"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101EE207">
            <w:r>
              <w:rPr>
                <w:rFonts w:ascii="Arial" w:hAnsi="Arial" w:eastAsia="Arial" w:cs="Arial"/>
                <w:b/>
                <w:bCs/>
                <w:color w:val="1A1A2E"/>
                <w:sz w:val="20"/>
                <w:szCs w:val="20"/>
              </w:rPr>
              <w:t>95.5%</w:t>
            </w:r>
          </w:p>
        </w:tc>
      </w:tr>
      <w:tr w14:paraId="78E88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54B145E3">
            <w:r>
              <w:rPr>
                <w:rFonts w:ascii="Arial" w:hAnsi="Arial" w:eastAsia="Arial" w:cs="Arial"/>
                <w:b/>
                <w:bCs/>
                <w:color w:val="1A1A2E"/>
                <w:sz w:val="20"/>
                <w:szCs w:val="20"/>
              </w:rPr>
              <w:t>FAIL Recall</w:t>
            </w:r>
          </w:p>
        </w:tc>
        <w:tc>
          <w:tcPr>
            <w:tcW w:w="20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645EBD15">
            <w:r>
              <w:rPr>
                <w:rFonts w:ascii="Arial" w:hAnsi="Arial" w:eastAsia="Arial" w:cs="Arial"/>
                <w:b w:val="0"/>
                <w:bCs w:val="0"/>
                <w:color w:val="1A1A2E"/>
                <w:sz w:val="20"/>
                <w:szCs w:val="20"/>
              </w:rPr>
              <w:t>—</w:t>
            </w:r>
          </w:p>
        </w:tc>
        <w:tc>
          <w:tcPr>
            <w:tcW w:w="20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5F722CD5">
            <w:r>
              <w:rPr>
                <w:rFonts w:ascii="Arial" w:hAnsi="Arial" w:eastAsia="Arial" w:cs="Arial"/>
                <w:b w:val="0"/>
                <w:bCs w:val="0"/>
                <w:color w:val="1A1A2E"/>
                <w:sz w:val="20"/>
                <w:szCs w:val="20"/>
              </w:rPr>
              <w:t>91.2%</w:t>
            </w:r>
          </w:p>
        </w:tc>
        <w:tc>
          <w:tcPr>
            <w:tcW w:w="2026"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20D05F3C">
            <w:r>
              <w:rPr>
                <w:rFonts w:ascii="Arial" w:hAnsi="Arial" w:eastAsia="Arial" w:cs="Arial"/>
                <w:b/>
                <w:bCs/>
                <w:color w:val="1A1A2E"/>
                <w:sz w:val="20"/>
                <w:szCs w:val="20"/>
              </w:rPr>
              <w:t>94.4%</w:t>
            </w:r>
          </w:p>
        </w:tc>
      </w:tr>
      <w:tr w14:paraId="7BB62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14CA0E98">
            <w:r>
              <w:rPr>
                <w:rFonts w:ascii="Arial" w:hAnsi="Arial" w:eastAsia="Arial" w:cs="Arial"/>
                <w:b/>
                <w:bCs/>
                <w:color w:val="1A1A2E"/>
                <w:sz w:val="20"/>
                <w:szCs w:val="20"/>
              </w:rPr>
              <w:t>AT RISK Recall</w:t>
            </w:r>
          </w:p>
        </w:tc>
        <w:tc>
          <w:tcPr>
            <w:tcW w:w="20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0619C6EA">
            <w:r>
              <w:rPr>
                <w:rFonts w:ascii="Arial" w:hAnsi="Arial" w:eastAsia="Arial" w:cs="Arial"/>
                <w:b w:val="0"/>
                <w:bCs w:val="0"/>
                <w:color w:val="1A1A2E"/>
                <w:sz w:val="20"/>
                <w:szCs w:val="20"/>
              </w:rPr>
              <w:t>—</w:t>
            </w:r>
          </w:p>
        </w:tc>
        <w:tc>
          <w:tcPr>
            <w:tcW w:w="20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693D2E0C">
            <w:r>
              <w:rPr>
                <w:rFonts w:ascii="Arial" w:hAnsi="Arial" w:eastAsia="Arial" w:cs="Arial"/>
                <w:b w:val="0"/>
                <w:bCs w:val="0"/>
                <w:color w:val="1A1A2E"/>
                <w:sz w:val="20"/>
                <w:szCs w:val="20"/>
              </w:rPr>
              <w:t>88.7%</w:t>
            </w:r>
          </w:p>
        </w:tc>
        <w:tc>
          <w:tcPr>
            <w:tcW w:w="2026"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703AEE70">
            <w:r>
              <w:rPr>
                <w:rFonts w:ascii="Arial" w:hAnsi="Arial" w:eastAsia="Arial" w:cs="Arial"/>
                <w:b/>
                <w:bCs/>
                <w:color w:val="1A1A2E"/>
                <w:sz w:val="20"/>
                <w:szCs w:val="20"/>
              </w:rPr>
              <w:t>91.8%</w:t>
            </w:r>
          </w:p>
        </w:tc>
      </w:tr>
      <w:tr w14:paraId="0DB65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2EC3842B">
            <w:r>
              <w:rPr>
                <w:rFonts w:ascii="Arial" w:hAnsi="Arial" w:eastAsia="Arial" w:cs="Arial"/>
                <w:b/>
                <w:bCs/>
                <w:color w:val="1A1A2E"/>
                <w:sz w:val="20"/>
                <w:szCs w:val="20"/>
              </w:rPr>
              <w:t>PASS Recall</w:t>
            </w:r>
          </w:p>
        </w:tc>
        <w:tc>
          <w:tcPr>
            <w:tcW w:w="20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153AC2DE">
            <w:r>
              <w:rPr>
                <w:rFonts w:ascii="Arial" w:hAnsi="Arial" w:eastAsia="Arial" w:cs="Arial"/>
                <w:b w:val="0"/>
                <w:bCs w:val="0"/>
                <w:color w:val="1A1A2E"/>
                <w:sz w:val="20"/>
                <w:szCs w:val="20"/>
              </w:rPr>
              <w:t>—</w:t>
            </w:r>
          </w:p>
        </w:tc>
        <w:tc>
          <w:tcPr>
            <w:tcW w:w="20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6C5FFE21">
            <w:r>
              <w:rPr>
                <w:rFonts w:ascii="Arial" w:hAnsi="Arial" w:eastAsia="Arial" w:cs="Arial"/>
                <w:b w:val="0"/>
                <w:bCs w:val="0"/>
                <w:color w:val="1A1A2E"/>
                <w:sz w:val="20"/>
                <w:szCs w:val="20"/>
              </w:rPr>
              <w:t>96.4%</w:t>
            </w:r>
          </w:p>
        </w:tc>
        <w:tc>
          <w:tcPr>
            <w:tcW w:w="2026"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0B078192">
            <w:r>
              <w:rPr>
                <w:rFonts w:ascii="Arial" w:hAnsi="Arial" w:eastAsia="Arial" w:cs="Arial"/>
                <w:b/>
                <w:bCs/>
                <w:color w:val="1A1A2E"/>
                <w:sz w:val="20"/>
                <w:szCs w:val="20"/>
              </w:rPr>
              <w:t>97.1%</w:t>
            </w:r>
          </w:p>
        </w:tc>
      </w:tr>
      <w:tr w14:paraId="44211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7940AEAE">
            <w:r>
              <w:rPr>
                <w:rFonts w:ascii="Arial" w:hAnsi="Arial" w:eastAsia="Arial" w:cs="Arial"/>
                <w:b/>
                <w:bCs/>
                <w:color w:val="1A1A2E"/>
                <w:sz w:val="20"/>
                <w:szCs w:val="20"/>
              </w:rPr>
              <w:t>False Negative Rate (FAIL missed)</w:t>
            </w:r>
          </w:p>
        </w:tc>
        <w:tc>
          <w:tcPr>
            <w:tcW w:w="20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12E98759">
            <w:r>
              <w:rPr>
                <w:rFonts w:ascii="Arial" w:hAnsi="Arial" w:eastAsia="Arial" w:cs="Arial"/>
                <w:b w:val="0"/>
                <w:bCs w:val="0"/>
                <w:color w:val="1A1A2E"/>
                <w:sz w:val="20"/>
                <w:szCs w:val="20"/>
              </w:rPr>
              <w:t>—</w:t>
            </w:r>
          </w:p>
        </w:tc>
        <w:tc>
          <w:tcPr>
            <w:tcW w:w="20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45BC514C">
            <w:r>
              <w:rPr>
                <w:rFonts w:ascii="Arial" w:hAnsi="Arial" w:eastAsia="Arial" w:cs="Arial"/>
                <w:b w:val="0"/>
                <w:bCs w:val="0"/>
                <w:color w:val="1A1A2E"/>
                <w:sz w:val="20"/>
                <w:szCs w:val="20"/>
              </w:rPr>
              <w:t>8.8%</w:t>
            </w:r>
          </w:p>
        </w:tc>
        <w:tc>
          <w:tcPr>
            <w:tcW w:w="2026"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3A91FA2A">
            <w:r>
              <w:rPr>
                <w:rFonts w:ascii="Arial" w:hAnsi="Arial" w:eastAsia="Arial" w:cs="Arial"/>
                <w:b/>
                <w:bCs/>
                <w:color w:val="1A1A2E"/>
                <w:sz w:val="20"/>
                <w:szCs w:val="20"/>
              </w:rPr>
              <w:t>5.6%</w:t>
            </w:r>
          </w:p>
        </w:tc>
      </w:tr>
    </w:tbl>
    <w:p w14:paraId="4BA52F3E">
      <w:pPr>
        <w:spacing w:before="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2439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91C1C" w:sz="6" w:space="0"/>
              <w:left w:val="single" w:color="B91C1C" w:sz="16" w:space="0"/>
              <w:bottom w:val="single" w:color="B91C1C" w:sz="2" w:space="0"/>
              <w:right w:val="single" w:color="B91C1C" w:sz="2" w:space="0"/>
            </w:tcBorders>
            <w:shd w:val="clear" w:color="auto" w:fill="FEF2F2"/>
            <w:tcMar>
              <w:top w:w="100" w:type="dxa"/>
              <w:left w:w="180" w:type="dxa"/>
              <w:bottom w:w="100" w:type="dxa"/>
              <w:right w:w="140" w:type="dxa"/>
            </w:tcMar>
          </w:tcPr>
          <w:p w14:paraId="5340090B">
            <w:pPr>
              <w:spacing w:before="0" w:after="60"/>
            </w:pPr>
            <w:r>
              <w:rPr>
                <w:rFonts w:ascii="Arial" w:hAnsi="Arial" w:eastAsia="Arial" w:cs="Arial"/>
                <w:b/>
                <w:bCs/>
                <w:color w:val="B91C1C"/>
                <w:sz w:val="21"/>
                <w:szCs w:val="21"/>
              </w:rPr>
              <w:t>⚠️  Interpretation Note</w:t>
            </w:r>
          </w:p>
          <w:p w14:paraId="76CCAC29">
            <w:pPr>
              <w:spacing w:before="0" w:after="0"/>
            </w:pPr>
            <w:r>
              <w:rPr>
                <w:rFonts w:ascii="Arial" w:hAnsi="Arial" w:eastAsia="Arial" w:cs="Arial"/>
                <w:color w:val="1A1A2E"/>
                <w:sz w:val="20"/>
                <w:szCs w:val="20"/>
              </w:rPr>
              <w:t>A False Negative Rate of 5.6% means that in the hold-out test set, approximately 1 in 18 students who actually failed was predicted as AT RISK or PASS by the model. In an academic advisory context, this makes the model a high-utility early warning system — but not a replacement for faculty judgment. All FAIL and AT RISK predictions should be discussed with the student; predictions should never automatically trigger administrative consequences.</w:t>
            </w:r>
          </w:p>
        </w:tc>
      </w:tr>
    </w:tbl>
    <w:p w14:paraId="10141543">
      <w:pPr>
        <w:spacing w:before="0" w:after="80"/>
      </w:pPr>
    </w:p>
    <w:p w14:paraId="0B63709A">
      <w:r>
        <w:br w:type="page"/>
      </w:r>
    </w:p>
    <w:p w14:paraId="0DB75941">
      <w:pPr>
        <w:pStyle w:val="2"/>
        <w:spacing w:before="400" w:after="140"/>
      </w:pPr>
      <w:r>
        <w:rPr>
          <w:rFonts w:ascii="Arial" w:hAnsi="Arial" w:eastAsia="Arial" w:cs="Arial"/>
          <w:b/>
          <w:bCs/>
          <w:color w:val="0D3B7A"/>
          <w:sz w:val="34"/>
          <w:szCs w:val="34"/>
        </w:rPr>
        <w:t>5. The AI Narrative Analysis Engine</w:t>
      </w:r>
    </w:p>
    <w:p w14:paraId="73C407A2">
      <w:pPr>
        <w:pStyle w:val="3"/>
        <w:spacing w:before="300" w:after="100"/>
      </w:pPr>
      <w:r>
        <w:rPr>
          <w:rFonts w:ascii="Arial" w:hAnsi="Arial" w:eastAsia="Arial" w:cs="Arial"/>
          <w:b/>
          <w:bCs/>
          <w:color w:val="1A56B0"/>
          <w:sz w:val="27"/>
          <w:szCs w:val="27"/>
        </w:rPr>
        <w:t>5.1 Design Philosophy</w:t>
      </w:r>
    </w:p>
    <w:p w14:paraId="454E97DB">
      <w:pPr>
        <w:spacing w:before="80" w:after="80" w:line="290" w:lineRule="auto"/>
      </w:pPr>
      <w:r>
        <w:rPr>
          <w:rFonts w:ascii="Arial" w:hAnsi="Arial" w:eastAsia="Arial" w:cs="Arial"/>
          <w:color w:val="1A1A2E"/>
          <w:sz w:val="22"/>
          <w:szCs w:val="22"/>
        </w:rPr>
        <w:t>The AI Analysis Engine in SFM  is a deterministic, rule-based natural language generation (NLG) system. It does not call any external API or language model at runtime. Instead, it uses a structured library of conditionally selected paragraphs, each parameterised by the student's actual data values, to produce a personalised multi-section report that reads as if written by a knowledgeable faculty advisor.</w:t>
      </w:r>
    </w:p>
    <w:p w14:paraId="08B1D2E2">
      <w:pPr>
        <w:spacing w:before="0" w:after="80"/>
      </w:pPr>
    </w:p>
    <w:p w14:paraId="36CC25BB">
      <w:pPr>
        <w:spacing w:before="80" w:after="80" w:line="290" w:lineRule="auto"/>
      </w:pPr>
      <w:r>
        <w:rPr>
          <w:rFonts w:ascii="Arial" w:hAnsi="Arial" w:eastAsia="Arial" w:cs="Arial"/>
          <w:color w:val="1A1A2E"/>
          <w:sz w:val="22"/>
          <w:szCs w:val="22"/>
        </w:rPr>
        <w:t>This design was chosen deliberately over a generative AI API (e.g. GPT) for the following reasons:</w:t>
      </w:r>
    </w:p>
    <w:p w14:paraId="690E4D1B">
      <w:pPr>
        <w:spacing w:before="0" w:after="80"/>
      </w:pPr>
    </w:p>
    <w:p w14:paraId="5B044E86">
      <w:pPr>
        <w:pStyle w:val="16"/>
        <w:numPr>
          <w:ilvl w:val="0"/>
          <w:numId w:val="1"/>
        </w:numPr>
        <w:spacing w:before="50" w:after="50" w:line="270" w:lineRule="auto"/>
      </w:pPr>
      <w:r>
        <w:rPr>
          <w:rFonts w:ascii="Arial" w:hAnsi="Arial" w:eastAsia="Arial" w:cs="Arial"/>
          <w:color w:val="1A1A2E"/>
          <w:sz w:val="21"/>
          <w:szCs w:val="21"/>
        </w:rPr>
        <w:t>Reliability: The system produces consistent, predictable output for any given input. Two students with identical data will receive identical analyses. Faculty can rely on the system to apply the same standards uniformly across the batch.</w:t>
      </w:r>
    </w:p>
    <w:p w14:paraId="1103AC19">
      <w:pPr>
        <w:pStyle w:val="16"/>
        <w:numPr>
          <w:ilvl w:val="0"/>
          <w:numId w:val="1"/>
        </w:numPr>
        <w:spacing w:before="50" w:after="50" w:line="270" w:lineRule="auto"/>
      </w:pPr>
      <w:r>
        <w:rPr>
          <w:rFonts w:ascii="Arial" w:hAnsi="Arial" w:eastAsia="Arial" w:cs="Arial"/>
          <w:color w:val="1A1A2E"/>
          <w:sz w:val="21"/>
          <w:szCs w:val="21"/>
        </w:rPr>
        <w:t>Offline operation: No internet connection, no API key, and no per-call cost. The application works identically whether accessed on a campus server or on a faculty member's laptop on a train.</w:t>
      </w:r>
    </w:p>
    <w:p w14:paraId="19025493">
      <w:pPr>
        <w:pStyle w:val="16"/>
        <w:numPr>
          <w:ilvl w:val="0"/>
          <w:numId w:val="1"/>
        </w:numPr>
        <w:spacing w:before="50" w:after="50" w:line="270" w:lineRule="auto"/>
      </w:pPr>
      <w:r>
        <w:rPr>
          <w:rFonts w:ascii="Arial" w:hAnsi="Arial" w:eastAsia="Arial" w:cs="Arial"/>
          <w:color w:val="1A1A2E"/>
          <w:sz w:val="21"/>
          <w:szCs w:val="21"/>
        </w:rPr>
        <w:t>VTU specificity: The analysis text contains exact VTU regulations (75% attendance rule, 20/50 CIE minimum, condonation procedures, SEE eligibility criteria) rather than generic academic advice. This specificity is only possible with a hand-crafted rule system.</w:t>
      </w:r>
    </w:p>
    <w:p w14:paraId="31EE3985">
      <w:pPr>
        <w:pStyle w:val="16"/>
        <w:numPr>
          <w:ilvl w:val="0"/>
          <w:numId w:val="1"/>
        </w:numPr>
        <w:spacing w:before="50" w:after="50" w:line="270" w:lineRule="auto"/>
      </w:pPr>
      <w:r>
        <w:rPr>
          <w:rFonts w:ascii="Arial" w:hAnsi="Arial" w:eastAsia="Arial" w:cs="Arial"/>
          <w:color w:val="1A1A2E"/>
          <w:sz w:val="21"/>
          <w:szCs w:val="21"/>
        </w:rPr>
        <w:t>Auditability: Every sentence in the output can be traced to a specific code branch triggered by specific threshold conditions. The output is explainable and auditable, which matters in an academic governance context.</w:t>
      </w:r>
    </w:p>
    <w:p w14:paraId="79A57CD4">
      <w:pPr>
        <w:spacing w:before="0" w:after="80"/>
      </w:pPr>
    </w:p>
    <w:p w14:paraId="2E773D2B">
      <w:pPr>
        <w:pStyle w:val="3"/>
        <w:spacing w:before="300" w:after="100"/>
      </w:pPr>
      <w:r>
        <w:rPr>
          <w:rFonts w:ascii="Arial" w:hAnsi="Arial" w:eastAsia="Arial" w:cs="Arial"/>
          <w:b/>
          <w:bCs/>
          <w:color w:val="1A56B0"/>
          <w:sz w:val="27"/>
          <w:szCs w:val="27"/>
        </w:rPr>
        <w:t>5.2 Architecture: 8 Layers</w:t>
      </w:r>
    </w:p>
    <w:p w14:paraId="6EE06E77">
      <w:pPr>
        <w:spacing w:before="80" w:after="80" w:line="290" w:lineRule="auto"/>
      </w:pPr>
      <w:r>
        <w:rPr>
          <w:rFonts w:ascii="Arial" w:hAnsi="Arial" w:eastAsia="Arial" w:cs="Arial"/>
          <w:color w:val="1A1A2E"/>
          <w:sz w:val="22"/>
          <w:szCs w:val="22"/>
        </w:rPr>
        <w:t>The engine is structured as 8 independent analysis layers, each producing a section of the full report. The layers are always executed in order and concatenated:</w:t>
      </w:r>
    </w:p>
    <w:p w14:paraId="69C020EC">
      <w:pPr>
        <w:spacing w:before="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1"/>
        <w:gridCol w:w="2437"/>
        <w:gridCol w:w="2547"/>
        <w:gridCol w:w="3551"/>
      </w:tblGrid>
      <w:tr w14:paraId="349C6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5CDD8" w:sz="0" w:space="0"/>
              <w:left w:val="single" w:color="C5CDD8" w:sz="0" w:space="0"/>
              <w:bottom w:val="single" w:color="C5CDD8" w:sz="0" w:space="0"/>
              <w:right w:val="single" w:color="C5CDD8" w:sz="0" w:space="0"/>
            </w:tcBorders>
            <w:shd w:val="clear" w:color="auto" w:fill="0D3B7A"/>
            <w:tcMar>
              <w:top w:w="100" w:type="dxa"/>
              <w:left w:w="140" w:type="dxa"/>
              <w:bottom w:w="100" w:type="dxa"/>
              <w:right w:w="140" w:type="dxa"/>
            </w:tcMar>
          </w:tcPr>
          <w:p w14:paraId="65034914">
            <w:r>
              <w:rPr>
                <w:rFonts w:ascii="Arial" w:hAnsi="Arial" w:eastAsia="Arial" w:cs="Arial"/>
                <w:b/>
                <w:bCs/>
                <w:color w:val="FFFFFF"/>
                <w:sz w:val="20"/>
                <w:szCs w:val="20"/>
              </w:rPr>
              <w:t>#</w:t>
            </w:r>
          </w:p>
        </w:tc>
        <w:tc>
          <w:tcPr>
            <w:tcW w:w="2200" w:type="dxa"/>
            <w:tcBorders>
              <w:top w:val="single" w:color="C5CDD8" w:sz="0" w:space="0"/>
              <w:left w:val="single" w:color="C5CDD8" w:sz="0" w:space="0"/>
              <w:bottom w:val="single" w:color="C5CDD8" w:sz="0" w:space="0"/>
              <w:right w:val="single" w:color="C5CDD8" w:sz="0" w:space="0"/>
            </w:tcBorders>
            <w:shd w:val="clear" w:color="auto" w:fill="0D3B7A"/>
            <w:tcMar>
              <w:top w:w="100" w:type="dxa"/>
              <w:left w:w="140" w:type="dxa"/>
              <w:bottom w:w="100" w:type="dxa"/>
              <w:right w:w="140" w:type="dxa"/>
            </w:tcMar>
          </w:tcPr>
          <w:p w14:paraId="259AD3EB">
            <w:r>
              <w:rPr>
                <w:rFonts w:ascii="Arial" w:hAnsi="Arial" w:eastAsia="Arial" w:cs="Arial"/>
                <w:b/>
                <w:bCs/>
                <w:color w:val="FFFFFF"/>
                <w:sz w:val="20"/>
                <w:szCs w:val="20"/>
              </w:rPr>
              <w:t>Layer / Function</w:t>
            </w:r>
          </w:p>
        </w:tc>
        <w:tc>
          <w:tcPr>
            <w:tcW w:w="2600" w:type="dxa"/>
            <w:tcBorders>
              <w:top w:val="single" w:color="C5CDD8" w:sz="0" w:space="0"/>
              <w:left w:val="single" w:color="C5CDD8" w:sz="0" w:space="0"/>
              <w:bottom w:val="single" w:color="C5CDD8" w:sz="0" w:space="0"/>
              <w:right w:val="single" w:color="C5CDD8" w:sz="0" w:space="0"/>
            </w:tcBorders>
            <w:shd w:val="clear" w:color="auto" w:fill="0D3B7A"/>
            <w:tcMar>
              <w:top w:w="100" w:type="dxa"/>
              <w:left w:w="140" w:type="dxa"/>
              <w:bottom w:w="100" w:type="dxa"/>
              <w:right w:w="140" w:type="dxa"/>
            </w:tcMar>
          </w:tcPr>
          <w:p w14:paraId="2C6DE6A5">
            <w:r>
              <w:rPr>
                <w:rFonts w:ascii="Arial" w:hAnsi="Arial" w:eastAsia="Arial" w:cs="Arial"/>
                <w:b/>
                <w:bCs/>
                <w:color w:val="FFFFFF"/>
                <w:sz w:val="20"/>
                <w:szCs w:val="20"/>
              </w:rPr>
              <w:t>Data Sources</w:t>
            </w:r>
          </w:p>
        </w:tc>
        <w:tc>
          <w:tcPr>
            <w:tcW w:w="3726" w:type="dxa"/>
            <w:tcBorders>
              <w:top w:val="single" w:color="C5CDD8" w:sz="0" w:space="0"/>
              <w:left w:val="single" w:color="C5CDD8" w:sz="0" w:space="0"/>
              <w:bottom w:val="single" w:color="C5CDD8" w:sz="0" w:space="0"/>
              <w:right w:val="single" w:color="C5CDD8" w:sz="0" w:space="0"/>
            </w:tcBorders>
            <w:shd w:val="clear" w:color="auto" w:fill="0D3B7A"/>
            <w:tcMar>
              <w:top w:w="100" w:type="dxa"/>
              <w:left w:w="140" w:type="dxa"/>
              <w:bottom w:w="100" w:type="dxa"/>
              <w:right w:w="140" w:type="dxa"/>
            </w:tcMar>
          </w:tcPr>
          <w:p w14:paraId="129A6F0E">
            <w:r>
              <w:rPr>
                <w:rFonts w:ascii="Arial" w:hAnsi="Arial" w:eastAsia="Arial" w:cs="Arial"/>
                <w:b/>
                <w:bCs/>
                <w:color w:val="FFFFFF"/>
                <w:sz w:val="20"/>
                <w:szCs w:val="20"/>
              </w:rPr>
              <w:t>Output Content</w:t>
            </w:r>
          </w:p>
        </w:tc>
      </w:tr>
      <w:tr w14:paraId="16467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573055DA">
            <w:r>
              <w:rPr>
                <w:rFonts w:ascii="Arial" w:hAnsi="Arial" w:eastAsia="Arial" w:cs="Arial"/>
                <w:b/>
                <w:bCs/>
                <w:color w:val="1A1A2E"/>
                <w:sz w:val="20"/>
                <w:szCs w:val="20"/>
              </w:rPr>
              <w:t>1</w:t>
            </w:r>
          </w:p>
        </w:tc>
        <w:tc>
          <w:tcPr>
            <w:tcW w:w="22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29D2A82A">
            <w:r>
              <w:rPr>
                <w:rFonts w:ascii="Arial" w:hAnsi="Arial" w:eastAsia="Arial" w:cs="Arial"/>
                <w:b/>
                <w:bCs/>
                <w:color w:val="1A1A2E"/>
                <w:sz w:val="20"/>
                <w:szCs w:val="20"/>
              </w:rPr>
              <w:t>analyseAttendance()</w:t>
            </w:r>
          </w:p>
        </w:tc>
        <w:tc>
          <w:tcPr>
            <w:tcW w:w="26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4BE1D818">
            <w:r>
              <w:rPr>
                <w:rFonts w:ascii="Arial" w:hAnsi="Arial" w:eastAsia="Arial" w:cs="Arial"/>
                <w:b w:val="0"/>
                <w:bCs w:val="0"/>
                <w:color w:val="1A1A2E"/>
                <w:sz w:val="20"/>
                <w:szCs w:val="20"/>
              </w:rPr>
              <w:t>attendance_pct, per-subject attendance, class count projections</w:t>
            </w:r>
          </w:p>
        </w:tc>
        <w:tc>
          <w:tcPr>
            <w:tcW w:w="3726"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2689DA13">
            <w:r>
              <w:rPr>
                <w:rFonts w:ascii="Arial" w:hAnsi="Arial" w:eastAsia="Arial" w:cs="Arial"/>
                <w:b w:val="0"/>
                <w:bCs w:val="0"/>
                <w:color w:val="1A1A2E"/>
                <w:sz w:val="20"/>
                <w:szCs w:val="20"/>
              </w:rPr>
              <w:t>Attendance tier assessment; VTU eligibility calculation; exact classes shortfall; maximum achievable attendance with perfect future attendance; per-subject attendance below threshold list</w:t>
            </w:r>
          </w:p>
        </w:tc>
      </w:tr>
      <w:tr w14:paraId="55BFA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1359E889">
            <w:r>
              <w:rPr>
                <w:rFonts w:ascii="Arial" w:hAnsi="Arial" w:eastAsia="Arial" w:cs="Arial"/>
                <w:b/>
                <w:bCs/>
                <w:color w:val="1A1A2E"/>
                <w:sz w:val="20"/>
                <w:szCs w:val="20"/>
              </w:rPr>
              <w:t>2</w:t>
            </w:r>
          </w:p>
        </w:tc>
        <w:tc>
          <w:tcPr>
            <w:tcW w:w="22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36EEFA14">
            <w:r>
              <w:rPr>
                <w:rFonts w:ascii="Arial" w:hAnsi="Arial" w:eastAsia="Arial" w:cs="Arial"/>
                <w:b/>
                <w:bCs/>
                <w:color w:val="1A1A2E"/>
                <w:sz w:val="20"/>
                <w:szCs w:val="20"/>
              </w:rPr>
              <w:t>analyseCIE()</w:t>
            </w:r>
          </w:p>
        </w:tc>
        <w:tc>
          <w:tcPr>
            <w:tcW w:w="26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3613DB86">
            <w:r>
              <w:rPr>
                <w:rFonts w:ascii="Arial" w:hAnsi="Arial" w:eastAsia="Arial" w:cs="Arial"/>
                <w:b w:val="0"/>
                <w:bCs w:val="0"/>
                <w:color w:val="1A1A2E"/>
                <w:sz w:val="20"/>
                <w:szCs w:val="20"/>
              </w:rPr>
              <w:t>cie1_score, cie2_score, passing threshold constants</w:t>
            </w:r>
          </w:p>
        </w:tc>
        <w:tc>
          <w:tcPr>
            <w:tcW w:w="3726"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7711C66F">
            <w:r>
              <w:rPr>
                <w:rFonts w:ascii="Arial" w:hAnsi="Arial" w:eastAsia="Arial" w:cs="Arial"/>
                <w:b w:val="0"/>
                <w:bCs w:val="0"/>
                <w:color w:val="1A1A2E"/>
                <w:sz w:val="20"/>
                <w:szCs w:val="20"/>
              </w:rPr>
              <w:t>CIE tier assessment; trend analysis (CIE-1 vs CIE-2); gap to passing threshold; passing threshold warning; recommended target score</w:t>
            </w:r>
          </w:p>
        </w:tc>
      </w:tr>
      <w:tr w14:paraId="21F5B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45434E58">
            <w:r>
              <w:rPr>
                <w:rFonts w:ascii="Arial" w:hAnsi="Arial" w:eastAsia="Arial" w:cs="Arial"/>
                <w:b/>
                <w:bCs/>
                <w:color w:val="1A1A2E"/>
                <w:sz w:val="20"/>
                <w:szCs w:val="20"/>
              </w:rPr>
              <w:t>3</w:t>
            </w:r>
          </w:p>
        </w:tc>
        <w:tc>
          <w:tcPr>
            <w:tcW w:w="22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27B6A416">
            <w:r>
              <w:rPr>
                <w:rFonts w:ascii="Arial" w:hAnsi="Arial" w:eastAsia="Arial" w:cs="Arial"/>
                <w:b/>
                <w:bCs/>
                <w:color w:val="1A1A2E"/>
                <w:sz w:val="20"/>
                <w:szCs w:val="20"/>
              </w:rPr>
              <w:t>analyseLab()</w:t>
            </w:r>
          </w:p>
        </w:tc>
        <w:tc>
          <w:tcPr>
            <w:tcW w:w="26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0B87CC24">
            <w:r>
              <w:rPr>
                <w:rFonts w:ascii="Arial" w:hAnsi="Arial" w:eastAsia="Arial" w:cs="Arial"/>
                <w:b w:val="0"/>
                <w:bCs w:val="0"/>
                <w:color w:val="1A1A2E"/>
                <w:sz w:val="20"/>
                <w:szCs w:val="20"/>
              </w:rPr>
              <w:t>lab_exam_score, viva_score, cie1_score, cie2_score</w:t>
            </w:r>
          </w:p>
        </w:tc>
        <w:tc>
          <w:tcPr>
            <w:tcW w:w="3726"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4C128F98">
            <w:r>
              <w:rPr>
                <w:rFonts w:ascii="Arial" w:hAnsi="Arial" w:eastAsia="Arial" w:cs="Arial"/>
                <w:b w:val="0"/>
                <w:bCs w:val="0"/>
                <w:color w:val="1A1A2E"/>
                <w:sz w:val="20"/>
                <w:szCs w:val="20"/>
              </w:rPr>
              <w:t>Lab performance tier; theory-practice disconnect detection; viva-specific assessment; oral communication development guidance</w:t>
            </w:r>
          </w:p>
        </w:tc>
      </w:tr>
      <w:tr w14:paraId="4BFC5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07BA7D58">
            <w:r>
              <w:rPr>
                <w:rFonts w:ascii="Arial" w:hAnsi="Arial" w:eastAsia="Arial" w:cs="Arial"/>
                <w:b/>
                <w:bCs/>
                <w:color w:val="1A1A2E"/>
                <w:sz w:val="20"/>
                <w:szCs w:val="20"/>
              </w:rPr>
              <w:t>4</w:t>
            </w:r>
          </w:p>
        </w:tc>
        <w:tc>
          <w:tcPr>
            <w:tcW w:w="22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05BD6241">
            <w:r>
              <w:rPr>
                <w:rFonts w:ascii="Arial" w:hAnsi="Arial" w:eastAsia="Arial" w:cs="Arial"/>
                <w:b/>
                <w:bCs/>
                <w:color w:val="1A1A2E"/>
                <w:sz w:val="20"/>
                <w:szCs w:val="20"/>
              </w:rPr>
              <w:t>analyseAssignments()</w:t>
            </w:r>
          </w:p>
        </w:tc>
        <w:tc>
          <w:tcPr>
            <w:tcW w:w="26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7E6DEC55">
            <w:r>
              <w:rPr>
                <w:rFonts w:ascii="Arial" w:hAnsi="Arial" w:eastAsia="Arial" w:cs="Arial"/>
                <w:b w:val="0"/>
                <w:bCs w:val="0"/>
                <w:color w:val="1A1A2E"/>
                <w:sz w:val="20"/>
                <w:szCs w:val="20"/>
              </w:rPr>
              <w:t>assignment_score, per-subject assignment data</w:t>
            </w:r>
          </w:p>
        </w:tc>
        <w:tc>
          <w:tcPr>
            <w:tcW w:w="3726"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08E9C7F1">
            <w:r>
              <w:rPr>
                <w:rFonts w:ascii="Arial" w:hAnsi="Arial" w:eastAsia="Arial" w:cs="Arial"/>
                <w:b w:val="0"/>
                <w:bCs w:val="0"/>
                <w:color w:val="1A1A2E"/>
                <w:sz w:val="20"/>
                <w:szCs w:val="20"/>
              </w:rPr>
              <w:t>Assignment compliance tier; per-subject low-assignment list; submission recovery guidance</w:t>
            </w:r>
          </w:p>
        </w:tc>
      </w:tr>
      <w:tr w14:paraId="34AB3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4DFC2705">
            <w:r>
              <w:rPr>
                <w:rFonts w:ascii="Arial" w:hAnsi="Arial" w:eastAsia="Arial" w:cs="Arial"/>
                <w:b/>
                <w:bCs/>
                <w:color w:val="1A1A2E"/>
                <w:sz w:val="20"/>
                <w:szCs w:val="20"/>
              </w:rPr>
              <w:t>5</w:t>
            </w:r>
          </w:p>
        </w:tc>
        <w:tc>
          <w:tcPr>
            <w:tcW w:w="22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0A2E7A33">
            <w:r>
              <w:rPr>
                <w:rFonts w:ascii="Arial" w:hAnsi="Arial" w:eastAsia="Arial" w:cs="Arial"/>
                <w:b/>
                <w:bCs/>
                <w:color w:val="1A1A2E"/>
                <w:sz w:val="20"/>
                <w:szCs w:val="20"/>
              </w:rPr>
              <w:t>analysePatterns()</w:t>
            </w:r>
          </w:p>
        </w:tc>
        <w:tc>
          <w:tcPr>
            <w:tcW w:w="26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513DA662">
            <w:r>
              <w:rPr>
                <w:rFonts w:ascii="Arial" w:hAnsi="Arial" w:eastAsia="Arial" w:cs="Arial"/>
                <w:b w:val="0"/>
                <w:bCs w:val="0"/>
                <w:color w:val="1A1A2E"/>
                <w:sz w:val="20"/>
                <w:szCs w:val="20"/>
              </w:rPr>
              <w:t>all subjects (CIE, lab, attendance per subject), coefficient of variation</w:t>
            </w:r>
          </w:p>
        </w:tc>
        <w:tc>
          <w:tcPr>
            <w:tcW w:w="3726"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022E64DA">
            <w:r>
              <w:rPr>
                <w:rFonts w:ascii="Arial" w:hAnsi="Arial" w:eastAsia="Arial" w:cs="Arial"/>
                <w:b w:val="0"/>
                <w:bCs w:val="0"/>
                <w:color w:val="1A1A2E"/>
                <w:sz w:val="20"/>
                <w:szCs w:val="20"/>
              </w:rPr>
              <w:t>Cross-subject pattern detection: uniform weakness vs single bottleneck vs high variability; weakest and strongest subject identification</w:t>
            </w:r>
          </w:p>
        </w:tc>
      </w:tr>
      <w:tr w14:paraId="57FB6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5ED72CB9">
            <w:r>
              <w:rPr>
                <w:rFonts w:ascii="Arial" w:hAnsi="Arial" w:eastAsia="Arial" w:cs="Arial"/>
                <w:b/>
                <w:bCs/>
                <w:color w:val="1A1A2E"/>
                <w:sz w:val="20"/>
                <w:szCs w:val="20"/>
              </w:rPr>
              <w:t>6</w:t>
            </w:r>
          </w:p>
        </w:tc>
        <w:tc>
          <w:tcPr>
            <w:tcW w:w="22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354B3892">
            <w:r>
              <w:rPr>
                <w:rFonts w:ascii="Arial" w:hAnsi="Arial" w:eastAsia="Arial" w:cs="Arial"/>
                <w:b/>
                <w:bCs/>
                <w:color w:val="1A1A2E"/>
                <w:sz w:val="20"/>
                <w:szCs w:val="20"/>
              </w:rPr>
              <w:t>interpretML()</w:t>
            </w:r>
          </w:p>
        </w:tc>
        <w:tc>
          <w:tcPr>
            <w:tcW w:w="26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42E7C116">
            <w:r>
              <w:rPr>
                <w:rFonts w:ascii="Arial" w:hAnsi="Arial" w:eastAsia="Arial" w:cs="Arial"/>
                <w:b w:val="0"/>
                <w:bCs w:val="0"/>
                <w:color w:val="1A1A2E"/>
                <w:sz w:val="20"/>
                <w:szCs w:val="20"/>
              </w:rPr>
              <w:t>ml.label, ml.probs, ml.conf, attendance_pct, cie average, lab</w:t>
            </w:r>
          </w:p>
        </w:tc>
        <w:tc>
          <w:tcPr>
            <w:tcW w:w="3726"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0CB80188">
            <w:r>
              <w:rPr>
                <w:rFonts w:ascii="Arial" w:hAnsi="Arial" w:eastAsia="Arial" w:cs="Arial"/>
                <w:b w:val="0"/>
                <w:bCs w:val="0"/>
                <w:color w:val="1A1A2E"/>
                <w:sz w:val="20"/>
                <w:szCs w:val="20"/>
              </w:rPr>
              <w:t>ML prediction interpretation with probability breakdown; confidence explanation; historical outcome context; conditional recovery scenario</w:t>
            </w:r>
          </w:p>
        </w:tc>
      </w:tr>
      <w:tr w14:paraId="29E4C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6295CEAF">
            <w:r>
              <w:rPr>
                <w:rFonts w:ascii="Arial" w:hAnsi="Arial" w:eastAsia="Arial" w:cs="Arial"/>
                <w:b/>
                <w:bCs/>
                <w:color w:val="1A1A2E"/>
                <w:sz w:val="20"/>
                <w:szCs w:val="20"/>
              </w:rPr>
              <w:t>7</w:t>
            </w:r>
          </w:p>
        </w:tc>
        <w:tc>
          <w:tcPr>
            <w:tcW w:w="22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5755D6FF">
            <w:r>
              <w:rPr>
                <w:rFonts w:ascii="Arial" w:hAnsi="Arial" w:eastAsia="Arial" w:cs="Arial"/>
                <w:b/>
                <w:bCs/>
                <w:color w:val="1A1A2E"/>
                <w:sz w:val="20"/>
                <w:szCs w:val="20"/>
              </w:rPr>
              <w:t>generateRiskInsights()</w:t>
            </w:r>
          </w:p>
        </w:tc>
        <w:tc>
          <w:tcPr>
            <w:tcW w:w="26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109F014F">
            <w:r>
              <w:rPr>
                <w:rFonts w:ascii="Arial" w:hAnsi="Arial" w:eastAsia="Arial" w:cs="Arial"/>
                <w:b w:val="0"/>
                <w:bCs w:val="0"/>
                <w:color w:val="1A1A2E"/>
                <w:sz w:val="20"/>
                <w:szCs w:val="20"/>
              </w:rPr>
              <w:t>all metrics</w:t>
            </w:r>
          </w:p>
        </w:tc>
        <w:tc>
          <w:tcPr>
            <w:tcW w:w="3726"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087E0B90">
            <w:r>
              <w:rPr>
                <w:rFonts w:ascii="Arial" w:hAnsi="Arial" w:eastAsia="Arial" w:cs="Arial"/>
                <w:b w:val="0"/>
                <w:bCs w:val="0"/>
                <w:color w:val="1A1A2E"/>
                <w:sz w:val="20"/>
                <w:szCs w:val="20"/>
              </w:rPr>
              <w:t>Quick-read insight pills: positive / warning / negative / neutral signals — used in the Risk Signals card panel</w:t>
            </w:r>
          </w:p>
        </w:tc>
      </w:tr>
      <w:tr w14:paraId="377FE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3AAD5189">
            <w:r>
              <w:rPr>
                <w:rFonts w:ascii="Arial" w:hAnsi="Arial" w:eastAsia="Arial" w:cs="Arial"/>
                <w:b/>
                <w:bCs/>
                <w:color w:val="1A1A2E"/>
                <w:sz w:val="20"/>
                <w:szCs w:val="20"/>
              </w:rPr>
              <w:t>8</w:t>
            </w:r>
          </w:p>
        </w:tc>
        <w:tc>
          <w:tcPr>
            <w:tcW w:w="22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5F7F7285">
            <w:r>
              <w:rPr>
                <w:rFonts w:ascii="Arial" w:hAnsi="Arial" w:eastAsia="Arial" w:cs="Arial"/>
                <w:b/>
                <w:bCs/>
                <w:color w:val="1A1A2E"/>
                <w:sz w:val="20"/>
                <w:szCs w:val="20"/>
              </w:rPr>
              <w:t>buildPlan()</w:t>
            </w:r>
          </w:p>
        </w:tc>
        <w:tc>
          <w:tcPr>
            <w:tcW w:w="26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53525914">
            <w:r>
              <w:rPr>
                <w:rFonts w:ascii="Arial" w:hAnsi="Arial" w:eastAsia="Arial" w:cs="Arial"/>
                <w:b w:val="0"/>
                <w:bCs w:val="0"/>
                <w:color w:val="1A1A2E"/>
                <w:sz w:val="20"/>
                <w:szCs w:val="20"/>
              </w:rPr>
              <w:t>all metrics + per-subject sorted by priority</w:t>
            </w:r>
          </w:p>
        </w:tc>
        <w:tc>
          <w:tcPr>
            <w:tcW w:w="3726"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3A173CE9">
            <w:r>
              <w:rPr>
                <w:rFonts w:ascii="Arial" w:hAnsi="Arial" w:eastAsia="Arial" w:cs="Arial"/>
                <w:b w:val="0"/>
                <w:bCs w:val="0"/>
                <w:color w:val="1A1A2E"/>
                <w:sz w:val="20"/>
                <w:szCs w:val="20"/>
              </w:rPr>
              <w:t>Complete 4-week personalised improvement plan with week-by-week action items, subject priority order, expected quantitative outcomes</w:t>
            </w:r>
          </w:p>
        </w:tc>
      </w:tr>
    </w:tbl>
    <w:p w14:paraId="72A3F47B">
      <w:pPr>
        <w:spacing w:before="0" w:after="80"/>
      </w:pPr>
    </w:p>
    <w:p w14:paraId="5CF01A08">
      <w:pPr>
        <w:pStyle w:val="3"/>
        <w:spacing w:before="300" w:after="100"/>
      </w:pPr>
      <w:r>
        <w:rPr>
          <w:rFonts w:ascii="Arial" w:hAnsi="Arial" w:eastAsia="Arial" w:cs="Arial"/>
          <w:b/>
          <w:bCs/>
          <w:color w:val="1A56B0"/>
          <w:sz w:val="27"/>
          <w:szCs w:val="27"/>
        </w:rPr>
        <w:t>5.3 Layer 1 — Attendance Analysis (analyseAttendance)</w:t>
      </w:r>
    </w:p>
    <w:p w14:paraId="11FB1901">
      <w:pPr>
        <w:spacing w:before="80" w:after="80" w:line="290" w:lineRule="auto"/>
      </w:pPr>
      <w:r>
        <w:rPr>
          <w:rFonts w:ascii="Arial" w:hAnsi="Arial" w:eastAsia="Arial" w:cs="Arial"/>
          <w:color w:val="1A1A2E"/>
          <w:sz w:val="22"/>
          <w:szCs w:val="22"/>
        </w:rPr>
        <w:t>This layer generates one of five qualitatively different narrative blocks based on the attendance percentage, covering: CRITICAL (&lt;50%), BELOW CRITICAL (&lt;65%), WARNING (&lt;75%), ACCEPTABLE (75–84%), and STRONG (≥85%).</w:t>
      </w:r>
    </w:p>
    <w:p w14:paraId="4EEBEA9A">
      <w:pPr>
        <w:spacing w:before="0" w:after="80"/>
      </w:pPr>
    </w:p>
    <w:p w14:paraId="28178AE0">
      <w:pPr>
        <w:spacing w:before="80" w:after="80" w:line="290" w:lineRule="auto"/>
      </w:pPr>
      <w:r>
        <w:rPr>
          <w:rFonts w:ascii="Arial" w:hAnsi="Arial" w:eastAsia="Arial" w:cs="Arial"/>
          <w:color w:val="1A1A2E"/>
          <w:sz w:val="22"/>
          <w:szCs w:val="22"/>
        </w:rPr>
        <w:t>In addition to tier classification, the layer computes:</w:t>
      </w:r>
    </w:p>
    <w:p w14:paraId="0F3641BC">
      <w:pPr>
        <w:spacing w:before="0" w:after="80"/>
      </w:pPr>
    </w:p>
    <w:p w14:paraId="15C180DC">
      <w:pPr>
        <w:pStyle w:val="16"/>
        <w:numPr>
          <w:ilvl w:val="0"/>
          <w:numId w:val="1"/>
        </w:numPr>
        <w:spacing w:before="50" w:after="50" w:line="270" w:lineRule="auto"/>
      </w:pPr>
      <w:r>
        <w:rPr>
          <w:rFonts w:ascii="Arial" w:hAnsi="Arial" w:eastAsia="Arial" w:cs="Arial"/>
          <w:color w:val="1A1A2E"/>
          <w:sz w:val="21"/>
          <w:szCs w:val="21"/>
        </w:rPr>
        <w:t>Exact classes shortfall: Based on an estimated total of 90 classes per semester and the student's current attendance percentage, the system calculates the exact number of additional classes needed to reach 75% eligibility.</w:t>
      </w:r>
    </w:p>
    <w:p w14:paraId="6A25C676">
      <w:pPr>
        <w:pStyle w:val="16"/>
        <w:numPr>
          <w:ilvl w:val="0"/>
          <w:numId w:val="1"/>
        </w:numPr>
        <w:spacing w:before="50" w:after="50" w:line="270" w:lineRule="auto"/>
      </w:pPr>
      <w:r>
        <w:rPr>
          <w:rFonts w:ascii="Arial" w:hAnsi="Arial" w:eastAsia="Arial" w:cs="Arial"/>
          <w:color w:val="1A1A2E"/>
          <w:sz w:val="21"/>
          <w:szCs w:val="21"/>
        </w:rPr>
        <w:t>Maximum achievable attendance: Given the remaining weeks (default: 8) and classes per week (default: 5), the system calculates the theoretical ceiling — if the student attends every single remaining class, what is the maximum attendance they can achieve? This number is shown explicitly when it is below 75%, to communicate the mathematical impossibility of recovery without condonation.</w:t>
      </w:r>
    </w:p>
    <w:p w14:paraId="430D0AD0">
      <w:pPr>
        <w:pStyle w:val="16"/>
        <w:numPr>
          <w:ilvl w:val="0"/>
          <w:numId w:val="1"/>
        </w:numPr>
        <w:spacing w:before="50" w:after="50" w:line="270" w:lineRule="auto"/>
      </w:pPr>
      <w:r>
        <w:rPr>
          <w:rFonts w:ascii="Arial" w:hAnsi="Arial" w:eastAsia="Arial" w:cs="Arial"/>
          <w:color w:val="1A1A2E"/>
          <w:sz w:val="21"/>
          <w:szCs w:val="21"/>
        </w:rPr>
        <w:t>Research-based peer comparison: The analysis embeds a quantitative claim drawn from VTU cohort observations: students in the 65–75% bracket score an average of 5–9 marks lower in CIE than students above 85%, due to compounding knowledge gaps from missed lectures.</w:t>
      </w:r>
    </w:p>
    <w:p w14:paraId="64ADC397">
      <w:pPr>
        <w:spacing w:before="0" w:after="80"/>
      </w:pPr>
    </w:p>
    <w:p w14:paraId="5C848BBB">
      <w:pPr>
        <w:pStyle w:val="3"/>
        <w:spacing w:before="300" w:after="100"/>
      </w:pPr>
      <w:r>
        <w:rPr>
          <w:rFonts w:ascii="Arial" w:hAnsi="Arial" w:eastAsia="Arial" w:cs="Arial"/>
          <w:b/>
          <w:bCs/>
          <w:color w:val="1A56B0"/>
          <w:sz w:val="27"/>
          <w:szCs w:val="27"/>
        </w:rPr>
        <w:t>5.4 Layer 2 — CIE Performance Analysis (analyseCIE)</w:t>
      </w:r>
    </w:p>
    <w:p w14:paraId="1613AEF2">
      <w:pPr>
        <w:spacing w:before="80" w:after="80" w:line="290" w:lineRule="auto"/>
      </w:pPr>
      <w:r>
        <w:rPr>
          <w:rFonts w:ascii="Arial" w:hAnsi="Arial" w:eastAsia="Arial" w:cs="Arial"/>
          <w:color w:val="1A1A2E"/>
          <w:sz w:val="22"/>
          <w:szCs w:val="22"/>
        </w:rPr>
        <w:t>This layer assesses internal assessment performance across four tiers (Critical &lt;16/50, Below Safe &lt;24/50, Moderate &lt;34/50, Strong ≥34/50) and generates:</w:t>
      </w:r>
    </w:p>
    <w:p w14:paraId="14E36E1E">
      <w:pPr>
        <w:spacing w:before="0" w:after="80"/>
      </w:pPr>
    </w:p>
    <w:p w14:paraId="2A256F97">
      <w:pPr>
        <w:pStyle w:val="16"/>
        <w:numPr>
          <w:ilvl w:val="0"/>
          <w:numId w:val="1"/>
        </w:numPr>
        <w:spacing w:before="50" w:after="50" w:line="270" w:lineRule="auto"/>
      </w:pPr>
      <w:r>
        <w:rPr>
          <w:rFonts w:ascii="Arial" w:hAnsi="Arial" w:eastAsia="Arial" w:cs="Arial"/>
          <w:color w:val="1A1A2E"/>
          <w:sz w:val="21"/>
          <w:szCs w:val="21"/>
        </w:rPr>
        <w:t>Trend detection: The direction and magnitude of the CIE-1 to CIE-2 change is computed as (cie2_score − cie1_score). A change of more than ±5 marks triggers a specific directional narrative — either a 'significant upward trajectory' or a 'concerning downward pattern'.</w:t>
      </w:r>
    </w:p>
    <w:p w14:paraId="73BB96E9">
      <w:pPr>
        <w:pStyle w:val="16"/>
        <w:numPr>
          <w:ilvl w:val="0"/>
          <w:numId w:val="1"/>
        </w:numPr>
        <w:spacing w:before="50" w:after="50" w:line="270" w:lineRule="auto"/>
      </w:pPr>
      <w:r>
        <w:rPr>
          <w:rFonts w:ascii="Arial" w:hAnsi="Arial" w:eastAsia="Arial" w:cs="Arial"/>
          <w:color w:val="1A1A2E"/>
          <w:sz w:val="21"/>
          <w:szCs w:val="21"/>
        </w:rPr>
        <w:t>Gap to passing threshold: The exact marks gap to the VTU 20/50 minimum is computed and stated explicitly, e.g. 'Current gap to passing threshold: 7.3 marks.'</w:t>
      </w:r>
    </w:p>
    <w:p w14:paraId="01A1F64B">
      <w:pPr>
        <w:pStyle w:val="16"/>
        <w:numPr>
          <w:ilvl w:val="0"/>
          <w:numId w:val="1"/>
        </w:numPr>
        <w:spacing w:before="50" w:after="50" w:line="270" w:lineRule="auto"/>
      </w:pPr>
      <w:r>
        <w:rPr>
          <w:rFonts w:ascii="Arial" w:hAnsi="Arial" w:eastAsia="Arial" w:cs="Arial"/>
          <w:color w:val="1A1A2E"/>
          <w:sz w:val="21"/>
          <w:szCs w:val="21"/>
        </w:rPr>
        <w:t>Dual-pass system explanation: For students below 20/50, the layer explains the VTU independent pass requirement — that both internal and external components must be passed separately, and that a strong SEE score cannot compensate for a failing internal mark.</w:t>
      </w:r>
    </w:p>
    <w:p w14:paraId="788459F1">
      <w:pPr>
        <w:spacing w:before="0" w:after="80"/>
      </w:pPr>
    </w:p>
    <w:p w14:paraId="16767C81">
      <w:pPr>
        <w:pStyle w:val="3"/>
        <w:spacing w:before="300" w:after="100"/>
      </w:pPr>
      <w:r>
        <w:rPr>
          <w:rFonts w:ascii="Arial" w:hAnsi="Arial" w:eastAsia="Arial" w:cs="Arial"/>
          <w:b/>
          <w:bCs/>
          <w:color w:val="1A56B0"/>
          <w:sz w:val="27"/>
          <w:szCs w:val="27"/>
        </w:rPr>
        <w:t>5.5 Layer 3 — Lab &amp; Practical Skills (analyseLab)</w:t>
      </w:r>
    </w:p>
    <w:p w14:paraId="4A1A159A">
      <w:pPr>
        <w:spacing w:before="80" w:after="80" w:line="290" w:lineRule="auto"/>
      </w:pPr>
      <w:r>
        <w:rPr>
          <w:rFonts w:ascii="Arial" w:hAnsi="Arial" w:eastAsia="Arial" w:cs="Arial"/>
          <w:color w:val="1A1A2E"/>
          <w:sz w:val="22"/>
          <w:szCs w:val="22"/>
        </w:rPr>
        <w:t>This layer handles two distinct sub-assessments: lab exam performance and viva performance. It also detects a specific pattern named the theory-practice disconnect:</w:t>
      </w:r>
    </w:p>
    <w:p w14:paraId="124F014F">
      <w:pPr>
        <w:spacing w:before="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38C8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5803D" w:sz="6" w:space="0"/>
              <w:left w:val="single" w:color="15803D" w:sz="16" w:space="0"/>
              <w:bottom w:val="single" w:color="15803D" w:sz="2" w:space="0"/>
              <w:right w:val="single" w:color="15803D" w:sz="2" w:space="0"/>
            </w:tcBorders>
            <w:shd w:val="clear" w:color="auto" w:fill="F0FDF4"/>
            <w:tcMar>
              <w:top w:w="100" w:type="dxa"/>
              <w:left w:w="180" w:type="dxa"/>
              <w:bottom w:w="100" w:type="dxa"/>
              <w:right w:w="140" w:type="dxa"/>
            </w:tcMar>
          </w:tcPr>
          <w:p w14:paraId="59CD452F">
            <w:pPr>
              <w:spacing w:before="0" w:after="60"/>
            </w:pPr>
            <w:r>
              <w:rPr>
                <w:rFonts w:ascii="Arial" w:hAnsi="Arial" w:eastAsia="Arial" w:cs="Arial"/>
                <w:b/>
                <w:bCs/>
                <w:color w:val="15803D"/>
                <w:sz w:val="21"/>
                <w:szCs w:val="21"/>
              </w:rPr>
              <w:t>🔬  Theory-Practice Disconnect Detection</w:t>
            </w:r>
          </w:p>
          <w:p w14:paraId="0F637798">
            <w:pPr>
              <w:spacing w:before="0" w:after="0"/>
            </w:pPr>
            <w:r>
              <w:rPr>
                <w:rFonts w:ascii="Arial" w:hAnsi="Arial" w:eastAsia="Arial" w:cs="Arial"/>
                <w:color w:val="1A1A2E"/>
                <w:sz w:val="20"/>
                <w:szCs w:val="20"/>
              </w:rPr>
              <w:t>The engine detects this pattern when: CIE average &gt; 28/50 (indicating decent theoretical understanding) AND lab score &lt; 20/50 (indicating weak practical execution). When both conditions are true, the narrative explicitly names the disconnect and explains its root cause: understanding concepts in lectures does not automatically transfer to executing them correctly under examination conditions. The remediation guidance is specifically practical (deliberate lab practice) rather than theoretical.</w:t>
            </w:r>
          </w:p>
        </w:tc>
      </w:tr>
    </w:tbl>
    <w:p w14:paraId="243F9AB8">
      <w:pPr>
        <w:spacing w:before="0" w:after="80"/>
      </w:pPr>
    </w:p>
    <w:p w14:paraId="6DDCB5E0">
      <w:pPr>
        <w:spacing w:before="80" w:after="80" w:line="290" w:lineRule="auto"/>
      </w:pPr>
      <w:r>
        <w:rPr>
          <w:rFonts w:ascii="Arial" w:hAnsi="Arial" w:eastAsia="Arial" w:cs="Arial"/>
          <w:color w:val="1A1A2E"/>
          <w:sz w:val="22"/>
          <w:szCs w:val="22"/>
        </w:rPr>
        <w:t>The viva sub-assessment generates a targeted communication skills narrative when viva &lt; 8/20, linking oral technical communication directly to project defence capability and placement interviews — giving the guidance immediate career relevance.</w:t>
      </w:r>
    </w:p>
    <w:p w14:paraId="613C985C">
      <w:pPr>
        <w:spacing w:before="0" w:after="80"/>
      </w:pPr>
    </w:p>
    <w:p w14:paraId="47EDDCED">
      <w:pPr>
        <w:pStyle w:val="3"/>
        <w:spacing w:before="300" w:after="100"/>
      </w:pPr>
      <w:r>
        <w:rPr>
          <w:rFonts w:ascii="Arial" w:hAnsi="Arial" w:eastAsia="Arial" w:cs="Arial"/>
          <w:b/>
          <w:bCs/>
          <w:color w:val="1A56B0"/>
          <w:sz w:val="27"/>
          <w:szCs w:val="27"/>
        </w:rPr>
        <w:t>5.6 Layer 4 — Assignment Compliance (analyseAssignments)</w:t>
      </w:r>
    </w:p>
    <w:p w14:paraId="4914E56F">
      <w:pPr>
        <w:spacing w:before="80" w:after="80" w:line="290" w:lineRule="auto"/>
      </w:pPr>
      <w:r>
        <w:rPr>
          <w:rFonts w:ascii="Arial" w:hAnsi="Arial" w:eastAsia="Arial" w:cs="Arial"/>
          <w:color w:val="1A1A2E"/>
          <w:sz w:val="22"/>
          <w:szCs w:val="22"/>
        </w:rPr>
        <w:t>Assignments in VTU RAI are among the most predictable marks available — faculty provide questions in advance, time is available to research, and the topics directly preview examination content. Low assignment scores therefore signal non-compliance (not submitting) rather than inability.</w:t>
      </w:r>
    </w:p>
    <w:p w14:paraId="0A560F7E">
      <w:pPr>
        <w:spacing w:before="0" w:after="80"/>
      </w:pPr>
    </w:p>
    <w:p w14:paraId="0C2D7991">
      <w:pPr>
        <w:spacing w:before="80" w:after="80" w:line="290" w:lineRule="auto"/>
      </w:pPr>
      <w:r>
        <w:rPr>
          <w:rFonts w:ascii="Arial" w:hAnsi="Arial" w:eastAsia="Arial" w:cs="Arial"/>
          <w:color w:val="1A1A2E"/>
          <w:sz w:val="22"/>
          <w:szCs w:val="22"/>
        </w:rPr>
        <w:t>The layer makes this inference explicit: 'Assignments with a score below 8/20 almost always reflect submission non-compliance rather than inability.' The remediation guidance is actionable and immediate: identify which assignments have not been submitted and submit before the faculty closes the submission window, noting that even late submissions often receive partial marks.</w:t>
      </w:r>
    </w:p>
    <w:p w14:paraId="64A6D032">
      <w:pPr>
        <w:spacing w:before="0" w:after="80"/>
      </w:pPr>
    </w:p>
    <w:p w14:paraId="1CB56588">
      <w:pPr>
        <w:pStyle w:val="3"/>
        <w:spacing w:before="300" w:after="100"/>
      </w:pPr>
      <w:r>
        <w:rPr>
          <w:rFonts w:ascii="Arial" w:hAnsi="Arial" w:eastAsia="Arial" w:cs="Arial"/>
          <w:b/>
          <w:bCs/>
          <w:color w:val="1A56B0"/>
          <w:sz w:val="27"/>
          <w:szCs w:val="27"/>
        </w:rPr>
        <w:t>5.7 Layer 5 — Cross-Subject Pattern Detection (analysePatterns)</w:t>
      </w:r>
    </w:p>
    <w:p w14:paraId="5C828491">
      <w:pPr>
        <w:spacing w:before="80" w:after="80" w:line="290" w:lineRule="auto"/>
      </w:pPr>
      <w:r>
        <w:rPr>
          <w:rFonts w:ascii="Arial" w:hAnsi="Arial" w:eastAsia="Arial" w:cs="Arial"/>
          <w:color w:val="1A1A2E"/>
          <w:sz w:val="22"/>
          <w:szCs w:val="22"/>
        </w:rPr>
        <w:t>This is the most analytically complex layer. It identifies which of three qualitatively different patterns is present in the student's cross-subject profile, because each pattern requires a categorically different intervention:</w:t>
      </w:r>
    </w:p>
    <w:p w14:paraId="6D68E519">
      <w:pPr>
        <w:spacing w:before="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800"/>
        <w:gridCol w:w="3826"/>
      </w:tblGrid>
      <w:tr w14:paraId="43440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5CDD8" w:sz="0" w:space="0"/>
              <w:left w:val="single" w:color="C5CDD8" w:sz="0" w:space="0"/>
              <w:bottom w:val="single" w:color="C5CDD8" w:sz="0" w:space="0"/>
              <w:right w:val="single" w:color="C5CDD8" w:sz="0" w:space="0"/>
            </w:tcBorders>
            <w:shd w:val="clear" w:color="auto" w:fill="0D3B7A"/>
            <w:tcMar>
              <w:top w:w="100" w:type="dxa"/>
              <w:left w:w="140" w:type="dxa"/>
              <w:bottom w:w="100" w:type="dxa"/>
              <w:right w:w="140" w:type="dxa"/>
            </w:tcMar>
          </w:tcPr>
          <w:p w14:paraId="6BF676CB">
            <w:r>
              <w:rPr>
                <w:rFonts w:ascii="Arial" w:hAnsi="Arial" w:eastAsia="Arial" w:cs="Arial"/>
                <w:b/>
                <w:bCs/>
                <w:color w:val="FFFFFF"/>
                <w:sz w:val="20"/>
                <w:szCs w:val="20"/>
              </w:rPr>
              <w:t>Pattern</w:t>
            </w:r>
          </w:p>
        </w:tc>
        <w:tc>
          <w:tcPr>
            <w:tcW w:w="2800" w:type="dxa"/>
            <w:tcBorders>
              <w:top w:val="single" w:color="C5CDD8" w:sz="0" w:space="0"/>
              <w:left w:val="single" w:color="C5CDD8" w:sz="0" w:space="0"/>
              <w:bottom w:val="single" w:color="C5CDD8" w:sz="0" w:space="0"/>
              <w:right w:val="single" w:color="C5CDD8" w:sz="0" w:space="0"/>
            </w:tcBorders>
            <w:shd w:val="clear" w:color="auto" w:fill="0D3B7A"/>
            <w:tcMar>
              <w:top w:w="100" w:type="dxa"/>
              <w:left w:w="140" w:type="dxa"/>
              <w:bottom w:w="100" w:type="dxa"/>
              <w:right w:w="140" w:type="dxa"/>
            </w:tcMar>
          </w:tcPr>
          <w:p w14:paraId="31B60B3A">
            <w:r>
              <w:rPr>
                <w:rFonts w:ascii="Arial" w:hAnsi="Arial" w:eastAsia="Arial" w:cs="Arial"/>
                <w:b/>
                <w:bCs/>
                <w:color w:val="FFFFFF"/>
                <w:sz w:val="20"/>
                <w:szCs w:val="20"/>
              </w:rPr>
              <w:t>Detection Condition</w:t>
            </w:r>
          </w:p>
        </w:tc>
        <w:tc>
          <w:tcPr>
            <w:tcW w:w="3826" w:type="dxa"/>
            <w:tcBorders>
              <w:top w:val="single" w:color="C5CDD8" w:sz="0" w:space="0"/>
              <w:left w:val="single" w:color="C5CDD8" w:sz="0" w:space="0"/>
              <w:bottom w:val="single" w:color="C5CDD8" w:sz="0" w:space="0"/>
              <w:right w:val="single" w:color="C5CDD8" w:sz="0" w:space="0"/>
            </w:tcBorders>
            <w:shd w:val="clear" w:color="auto" w:fill="0D3B7A"/>
            <w:tcMar>
              <w:top w:w="100" w:type="dxa"/>
              <w:left w:w="140" w:type="dxa"/>
              <w:bottom w:w="100" w:type="dxa"/>
              <w:right w:w="140" w:type="dxa"/>
            </w:tcMar>
          </w:tcPr>
          <w:p w14:paraId="44DDF5CD">
            <w:r>
              <w:rPr>
                <w:rFonts w:ascii="Arial" w:hAnsi="Arial" w:eastAsia="Arial" w:cs="Arial"/>
                <w:b/>
                <w:bCs/>
                <w:color w:val="FFFFFF"/>
                <w:sz w:val="20"/>
                <w:szCs w:val="20"/>
              </w:rPr>
              <w:t>Interpretation &amp; Action</w:t>
            </w:r>
          </w:p>
        </w:tc>
      </w:tr>
      <w:tr w14:paraId="35AE5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6D2A0432">
            <w:r>
              <w:rPr>
                <w:rFonts w:ascii="Arial" w:hAnsi="Arial" w:eastAsia="Arial" w:cs="Arial"/>
                <w:b/>
                <w:bCs/>
                <w:color w:val="1A1A2E"/>
                <w:sz w:val="20"/>
                <w:szCs w:val="20"/>
              </w:rPr>
              <w:t>Uniform Weakness</w:t>
            </w:r>
          </w:p>
        </w:tc>
        <w:tc>
          <w:tcPr>
            <w:tcW w:w="28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640FB5F0">
            <w:r>
              <w:rPr>
                <w:rFonts w:ascii="Arial" w:hAnsi="Arial" w:eastAsia="Arial" w:cs="Arial"/>
                <w:b w:val="0"/>
                <w:bCs w:val="0"/>
                <w:color w:val="1A1A2E"/>
                <w:sz w:val="20"/>
                <w:szCs w:val="20"/>
              </w:rPr>
              <w:t>All subjects show low attendance (&lt;65%) AND low CIE (&lt;18/50)</w:t>
            </w:r>
          </w:p>
        </w:tc>
        <w:tc>
          <w:tcPr>
            <w:tcW w:w="3826"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631B0C8A">
            <w:r>
              <w:rPr>
                <w:rFonts w:ascii="Arial" w:hAnsi="Arial" w:eastAsia="Arial" w:cs="Arial"/>
                <w:b w:val="0"/>
                <w:bCs w:val="0"/>
                <w:color w:val="1A1A2E"/>
                <w:sz w:val="20"/>
                <w:szCs w:val="20"/>
              </w:rPr>
              <w:t>Systemic non-academic factor. A counselling conversation about personal circumstances is recommended before any academic remediation plan. Purely academic intervention is unlikely to be sufficient.</w:t>
            </w:r>
          </w:p>
        </w:tc>
      </w:tr>
      <w:tr w14:paraId="06A96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1331CD80">
            <w:r>
              <w:rPr>
                <w:rFonts w:ascii="Arial" w:hAnsi="Arial" w:eastAsia="Arial" w:cs="Arial"/>
                <w:b/>
                <w:bCs/>
                <w:color w:val="1A1A2E"/>
                <w:sz w:val="20"/>
                <w:szCs w:val="20"/>
              </w:rPr>
              <w:t>Single Bottleneck</w:t>
            </w:r>
          </w:p>
        </w:tc>
        <w:tc>
          <w:tcPr>
            <w:tcW w:w="28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62F382D7">
            <w:r>
              <w:rPr>
                <w:rFonts w:ascii="Arial" w:hAnsi="Arial" w:eastAsia="Arial" w:cs="Arial"/>
                <w:b w:val="0"/>
                <w:bCs w:val="0"/>
                <w:color w:val="1A1A2E"/>
                <w:sz w:val="20"/>
                <w:szCs w:val="20"/>
              </w:rPr>
              <w:t>One subject has CIE avg &lt; 15/50 AND all other subjects have CIE avg &gt; 25/50</w:t>
            </w:r>
          </w:p>
        </w:tc>
        <w:tc>
          <w:tcPr>
            <w:tcW w:w="3826"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29A23BF9">
            <w:r>
              <w:rPr>
                <w:rFonts w:ascii="Arial" w:hAnsi="Arial" w:eastAsia="Arial" w:cs="Arial"/>
                <w:b w:val="0"/>
                <w:bCs w:val="0"/>
                <w:color w:val="1A1A2E"/>
                <w:sz w:val="20"/>
                <w:szCs w:val="20"/>
              </w:rPr>
              <w:t>Subject-specific conceptual block, disinterest, or scheduling conflict. Targeted intervention in one subject only. Peer tutoring or extra coaching in that subject alone can meaningfully shift the overall profile.</w:t>
            </w:r>
          </w:p>
        </w:tc>
      </w:tr>
      <w:tr w14:paraId="5F578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520647B0">
            <w:r>
              <w:rPr>
                <w:rFonts w:ascii="Arial" w:hAnsi="Arial" w:eastAsia="Arial" w:cs="Arial"/>
                <w:b/>
                <w:bCs/>
                <w:color w:val="1A1A2E"/>
                <w:sz w:val="20"/>
                <w:szCs w:val="20"/>
              </w:rPr>
              <w:t>High Variability</w:t>
            </w:r>
          </w:p>
        </w:tc>
        <w:tc>
          <w:tcPr>
            <w:tcW w:w="28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5397CC20">
            <w:r>
              <w:rPr>
                <w:rFonts w:ascii="Arial" w:hAnsi="Arial" w:eastAsia="Arial" w:cs="Arial"/>
                <w:b w:val="0"/>
                <w:bCs w:val="0"/>
                <w:color w:val="1A1A2E"/>
                <w:sz w:val="20"/>
                <w:szCs w:val="20"/>
              </w:rPr>
              <w:t>Coefficient of variation of attendance across subjects &gt; 0.12</w:t>
            </w:r>
          </w:p>
        </w:tc>
        <w:tc>
          <w:tcPr>
            <w:tcW w:w="3826"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51104B75">
            <w:r>
              <w:rPr>
                <w:rFonts w:ascii="Arial" w:hAnsi="Arial" w:eastAsia="Arial" w:cs="Arial"/>
                <w:b w:val="0"/>
                <w:bCs w:val="0"/>
                <w:color w:val="1A1A2E"/>
                <w:sz w:val="20"/>
                <w:szCs w:val="20"/>
              </w:rPr>
              <w:t>Selective engagement: performing well in preferred subjects while neglecting others. Strategy: use strong subjects as a model for study approach; focus heavily on weak subjects.</w:t>
            </w:r>
          </w:p>
        </w:tc>
      </w:tr>
      <w:tr w14:paraId="27295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107CDC1A">
            <w:r>
              <w:rPr>
                <w:rFonts w:ascii="Arial" w:hAnsi="Arial" w:eastAsia="Arial" w:cs="Arial"/>
                <w:b/>
                <w:bCs/>
                <w:color w:val="1A1A2E"/>
                <w:sz w:val="20"/>
                <w:szCs w:val="20"/>
              </w:rPr>
              <w:t>Default</w:t>
            </w:r>
          </w:p>
        </w:tc>
        <w:tc>
          <w:tcPr>
            <w:tcW w:w="28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208F0111">
            <w:r>
              <w:rPr>
                <w:rFonts w:ascii="Arial" w:hAnsi="Arial" w:eastAsia="Arial" w:cs="Arial"/>
                <w:b w:val="0"/>
                <w:bCs w:val="0"/>
                <w:color w:val="1A1A2E"/>
                <w:sz w:val="20"/>
                <w:szCs w:val="20"/>
              </w:rPr>
              <w:t>None of the above patterns are detected</w:t>
            </w:r>
          </w:p>
        </w:tc>
        <w:tc>
          <w:tcPr>
            <w:tcW w:w="3826"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14F745D6">
            <w:r>
              <w:rPr>
                <w:rFonts w:ascii="Arial" w:hAnsi="Arial" w:eastAsia="Arial" w:cs="Arial"/>
                <w:b w:val="0"/>
                <w:bCs w:val="0"/>
                <w:color w:val="1A1A2E"/>
                <w:sz w:val="20"/>
                <w:szCs w:val="20"/>
              </w:rPr>
              <w:t>Relatively consistent profile with identifiable weak points. Standard remediation applies. Weak subjects listed by combined CIE+lab score rank.</w:t>
            </w:r>
          </w:p>
        </w:tc>
      </w:tr>
    </w:tbl>
    <w:p w14:paraId="22548AD9">
      <w:pPr>
        <w:spacing w:before="0" w:after="80"/>
      </w:pPr>
    </w:p>
    <w:p w14:paraId="6F78323D">
      <w:pPr>
        <w:pStyle w:val="3"/>
        <w:spacing w:before="300" w:after="100"/>
      </w:pPr>
      <w:r>
        <w:rPr>
          <w:rFonts w:ascii="Arial" w:hAnsi="Arial" w:eastAsia="Arial" w:cs="Arial"/>
          <w:b/>
          <w:bCs/>
          <w:color w:val="1A56B0"/>
          <w:sz w:val="27"/>
          <w:szCs w:val="27"/>
        </w:rPr>
        <w:t>5.8 Layer 6 — ML Model Interpretation (interpretML)</w:t>
      </w:r>
    </w:p>
    <w:p w14:paraId="28CD12ED">
      <w:pPr>
        <w:spacing w:before="80" w:after="80" w:line="290" w:lineRule="auto"/>
      </w:pPr>
      <w:r>
        <w:rPr>
          <w:rFonts w:ascii="Arial" w:hAnsi="Arial" w:eastAsia="Arial" w:cs="Arial"/>
          <w:color w:val="1A1A2E"/>
          <w:sz w:val="22"/>
          <w:szCs w:val="22"/>
        </w:rPr>
        <w:t>This layer translates the raw ML output (label + probability triplet + confidence level) into a contextualised narrative paragraph. It generates one of four narrative blocks depending on the prediction label and confidence combination:</w:t>
      </w:r>
    </w:p>
    <w:p w14:paraId="167ED521">
      <w:pPr>
        <w:spacing w:before="0" w:after="80"/>
      </w:pPr>
    </w:p>
    <w:p w14:paraId="6329E788">
      <w:pPr>
        <w:pStyle w:val="16"/>
        <w:numPr>
          <w:ilvl w:val="0"/>
          <w:numId w:val="1"/>
        </w:numPr>
        <w:spacing w:before="50" w:after="50" w:line="270" w:lineRule="auto"/>
      </w:pPr>
      <w:r>
        <w:rPr>
          <w:rFonts w:ascii="Arial" w:hAnsi="Arial" w:eastAsia="Arial" w:cs="Arial"/>
          <w:color w:val="1A1A2E"/>
          <w:sz w:val="21"/>
          <w:szCs w:val="21"/>
        </w:rPr>
        <w:t>FAIL + HIGH confidence: States the exact P_FAIL percentage; references the 88% historical failure rate for students in this profile who did not change trajectory; explicitly frames the remaining probability as the window for recovery.</w:t>
      </w:r>
    </w:p>
    <w:p w14:paraId="5CC14F92">
      <w:pPr>
        <w:pStyle w:val="16"/>
        <w:numPr>
          <w:ilvl w:val="0"/>
          <w:numId w:val="1"/>
        </w:numPr>
        <w:spacing w:before="50" w:after="50" w:line="270" w:lineRule="auto"/>
      </w:pPr>
      <w:r>
        <w:rPr>
          <w:rFonts w:ascii="Arial" w:hAnsi="Arial" w:eastAsia="Arial" w:cs="Arial"/>
          <w:color w:val="1A1A2E"/>
          <w:sz w:val="21"/>
          <w:szCs w:val="21"/>
        </w:rPr>
        <w:t>FAIL + non-HIGH confidence: Frames the situation as recoverable; highlights the non-fail probability; describes what historical students in similar probability bands did to pass.</w:t>
      </w:r>
    </w:p>
    <w:p w14:paraId="71B166CD">
      <w:pPr>
        <w:pStyle w:val="16"/>
        <w:numPr>
          <w:ilvl w:val="0"/>
          <w:numId w:val="1"/>
        </w:numPr>
        <w:spacing w:before="50" w:after="50" w:line="270" w:lineRule="auto"/>
      </w:pPr>
      <w:r>
        <w:rPr>
          <w:rFonts w:ascii="Arial" w:hAnsi="Arial" w:eastAsia="Arial" w:cs="Arial"/>
          <w:color w:val="1A1A2E"/>
          <w:sz w:val="21"/>
          <w:szCs w:val="21"/>
        </w:rPr>
        <w:t>AT RISK: Explicitly states that the next 4 weeks of academic behaviour will determine the outcome; cites the specific behavioural changes (attendance, assignment completion, focused revision) that historically moved AT RISK students to PASS.</w:t>
      </w:r>
    </w:p>
    <w:p w14:paraId="7BCBAFB7">
      <w:pPr>
        <w:pStyle w:val="16"/>
        <w:numPr>
          <w:ilvl w:val="0"/>
          <w:numId w:val="1"/>
        </w:numPr>
        <w:spacing w:before="50" w:after="50" w:line="270" w:lineRule="auto"/>
      </w:pPr>
      <w:r>
        <w:rPr>
          <w:rFonts w:ascii="Arial" w:hAnsi="Arial" w:eastAsia="Arial" w:cs="Arial"/>
          <w:color w:val="1A1A2E"/>
          <w:sz w:val="21"/>
          <w:szCs w:val="21"/>
        </w:rPr>
        <w:t>PASS: Confirms the positive prediction; identifies the primary remaining risk (late-semester attendance drops) as the most common cause of unexpected failures in the PASS-probability group.</w:t>
      </w:r>
    </w:p>
    <w:p w14:paraId="3AD4FBE1">
      <w:pPr>
        <w:spacing w:before="0" w:after="80"/>
      </w:pPr>
    </w:p>
    <w:p w14:paraId="15707CC8">
      <w:pPr>
        <w:pStyle w:val="3"/>
        <w:spacing w:before="300" w:after="100"/>
      </w:pPr>
      <w:r>
        <w:rPr>
          <w:rFonts w:ascii="Arial" w:hAnsi="Arial" w:eastAsia="Arial" w:cs="Arial"/>
          <w:b/>
          <w:bCs/>
          <w:color w:val="1A56B0"/>
          <w:sz w:val="27"/>
          <w:szCs w:val="27"/>
        </w:rPr>
        <w:t>5.9 Layer 8 — 4-Week Personalised Improvement Plan (buildPlan)</w:t>
      </w:r>
    </w:p>
    <w:p w14:paraId="2330812D">
      <w:pPr>
        <w:spacing w:before="80" w:after="80" w:line="290" w:lineRule="auto"/>
      </w:pPr>
      <w:r>
        <w:rPr>
          <w:rFonts w:ascii="Arial" w:hAnsi="Arial" w:eastAsia="Arial" w:cs="Arial"/>
          <w:color w:val="1A1A2E"/>
          <w:sz w:val="22"/>
          <w:szCs w:val="22"/>
        </w:rPr>
        <w:t>The plan builder generates a structured four-week action plan that is personalised at three levels: (1) subject priority order (subjects ranked by combined CIE+lab score, weakest first), (2) attendance gap (recovery actions scaled to the exact shortfall), and (3) viva and lab scores (specific preparation guidance triggered only when scores fall below thresholds).</w:t>
      </w:r>
    </w:p>
    <w:p w14:paraId="29F3C7F9">
      <w:pPr>
        <w:spacing w:before="0" w:after="80"/>
      </w:pPr>
    </w:p>
    <w:p w14:paraId="55557B73">
      <w:pPr>
        <w:spacing w:before="80" w:after="80" w:line="290" w:lineRule="auto"/>
      </w:pPr>
      <w:r>
        <w:rPr>
          <w:rFonts w:ascii="Arial" w:hAnsi="Arial" w:eastAsia="Arial" w:cs="Arial"/>
          <w:color w:val="1A1A2E"/>
          <w:sz w:val="22"/>
          <w:szCs w:val="22"/>
        </w:rPr>
        <w:t>Each week has a specific theme:</w:t>
      </w:r>
    </w:p>
    <w:p w14:paraId="5D2B1C15">
      <w:pPr>
        <w:spacing w:before="0" w:after="80"/>
      </w:pPr>
    </w:p>
    <w:p w14:paraId="59EBA96D">
      <w:pPr>
        <w:pStyle w:val="16"/>
        <w:numPr>
          <w:ilvl w:val="0"/>
          <w:numId w:val="1"/>
        </w:numPr>
        <w:spacing w:before="50" w:after="50" w:line="270" w:lineRule="auto"/>
      </w:pPr>
      <w:r>
        <w:rPr>
          <w:rFonts w:ascii="Arial" w:hAnsi="Arial" w:eastAsia="Arial" w:cs="Arial"/>
          <w:color w:val="1A1A2E"/>
          <w:sz w:val="21"/>
          <w:szCs w:val="21"/>
        </w:rPr>
        <w:t>Week 1 — Foundation and Damage Assessment: Attendance recovery, collecting all CIE answer papers, identifying and submitting pending assignments, scheduling faculty mentor meeting.</w:t>
      </w:r>
    </w:p>
    <w:p w14:paraId="3DAE2581">
      <w:pPr>
        <w:pStyle w:val="16"/>
        <w:numPr>
          <w:ilvl w:val="0"/>
          <w:numId w:val="1"/>
        </w:numPr>
        <w:spacing w:before="50" w:after="50" w:line="270" w:lineRule="auto"/>
      </w:pPr>
      <w:r>
        <w:rPr>
          <w:rFonts w:ascii="Arial" w:hAnsi="Arial" w:eastAsia="Arial" w:cs="Arial"/>
          <w:color w:val="1A1A2E"/>
          <w:sz w:val="21"/>
          <w:szCs w:val="21"/>
        </w:rPr>
        <w:t>Week 2 — Targeted Remediation: 90-minute daily study sessions for the weakest subject, previous-year question practice, lab record completion for the second-weakest subject.</w:t>
      </w:r>
    </w:p>
    <w:p w14:paraId="6B47DB32">
      <w:pPr>
        <w:pStyle w:val="16"/>
        <w:numPr>
          <w:ilvl w:val="0"/>
          <w:numId w:val="1"/>
        </w:numPr>
        <w:spacing w:before="50" w:after="50" w:line="270" w:lineRule="auto"/>
      </w:pPr>
      <w:r>
        <w:rPr>
          <w:rFonts w:ascii="Arial" w:hAnsi="Arial" w:eastAsia="Arial" w:cs="Arial"/>
          <w:color w:val="1A1A2E"/>
          <w:sz w:val="21"/>
          <w:szCs w:val="21"/>
        </w:rPr>
        <w:t>Week 3 — Mock Assessments and Oral Preparation: Timed mock tests for all subjects, self-scoring, viva preparation protocol (write-explain-repeat for each experiment).</w:t>
      </w:r>
    </w:p>
    <w:p w14:paraId="1E9C9970">
      <w:pPr>
        <w:pStyle w:val="16"/>
        <w:numPr>
          <w:ilvl w:val="0"/>
          <w:numId w:val="1"/>
        </w:numPr>
        <w:spacing w:before="50" w:after="50" w:line="270" w:lineRule="auto"/>
      </w:pPr>
      <w:r>
        <w:rPr>
          <w:rFonts w:ascii="Arial" w:hAnsi="Arial" w:eastAsia="Arial" w:cs="Arial"/>
          <w:color w:val="1A1A2E"/>
          <w:sz w:val="21"/>
          <w:szCs w:val="21"/>
        </w:rPr>
        <w:t>Week 4 — SEE Readiness: VTU question bank sweep for all subjects, full past-paper mock exams under exam conditions, final attendance audit, confirmation of SEE eligibility.</w:t>
      </w:r>
    </w:p>
    <w:p w14:paraId="362E3D7D">
      <w:pPr>
        <w:spacing w:before="0" w:after="80"/>
      </w:pPr>
    </w:p>
    <w:p w14:paraId="515BC1DD">
      <w:pPr>
        <w:spacing w:before="80" w:after="80" w:line="290" w:lineRule="auto"/>
      </w:pPr>
      <w:r>
        <w:rPr>
          <w:rFonts w:ascii="Arial" w:hAnsi="Arial" w:eastAsia="Arial" w:cs="Arial"/>
          <w:color w:val="1A1A2E"/>
          <w:sz w:val="22"/>
          <w:szCs w:val="22"/>
        </w:rPr>
        <w:t>The plan also includes a quantitative projection of expected outcomes if followed: target improvements in attendance, CIE average, lab score, overall fitness score, and ML prediction outcome — giving the student a concrete goal to work toward.</w:t>
      </w:r>
    </w:p>
    <w:p w14:paraId="0C490DA8">
      <w:pPr>
        <w:spacing w:before="0" w:after="80"/>
      </w:pPr>
    </w:p>
    <w:p w14:paraId="34ED5A73">
      <w:r>
        <w:br w:type="page"/>
      </w:r>
    </w:p>
    <w:p w14:paraId="15933D33">
      <w:pPr>
        <w:pStyle w:val="2"/>
        <w:spacing w:before="400" w:after="140"/>
      </w:pPr>
      <w:r>
        <w:rPr>
          <w:rFonts w:ascii="Arial" w:hAnsi="Arial" w:eastAsia="Arial" w:cs="Arial"/>
          <w:b/>
          <w:bCs/>
          <w:color w:val="0D3B7A"/>
          <w:sz w:val="34"/>
          <w:szCs w:val="34"/>
        </w:rPr>
        <w:t>6. Batch Intelligence Engine</w:t>
      </w:r>
    </w:p>
    <w:p w14:paraId="798184AD">
      <w:pPr>
        <w:pStyle w:val="3"/>
        <w:spacing w:before="300" w:after="100"/>
      </w:pPr>
      <w:r>
        <w:rPr>
          <w:rFonts w:ascii="Arial" w:hAnsi="Arial" w:eastAsia="Arial" w:cs="Arial"/>
          <w:b/>
          <w:bCs/>
          <w:color w:val="1A56B0"/>
          <w:sz w:val="27"/>
          <w:szCs w:val="27"/>
        </w:rPr>
        <w:t>6.1 Overview</w:t>
      </w:r>
    </w:p>
    <w:p w14:paraId="24FA4CF9">
      <w:pPr>
        <w:spacing w:before="80" w:after="80" w:line="290" w:lineRule="auto"/>
      </w:pPr>
      <w:r>
        <w:rPr>
          <w:rFonts w:ascii="Arial" w:hAnsi="Arial" w:eastAsia="Arial" w:cs="Arial"/>
          <w:color w:val="1A1A2E"/>
          <w:sz w:val="22"/>
          <w:szCs w:val="22"/>
        </w:rPr>
        <w:t>In addition to individual student analysis, SFM  includes a Batch Health Intelligence Report (batchInsight() function) that aggregates the individual risk profiles into a class-level summary for faculty. This report is generated when the faculty clicks the 'AI Report' button on the batch panel.</w:t>
      </w:r>
    </w:p>
    <w:p w14:paraId="56022061">
      <w:pPr>
        <w:spacing w:before="0" w:after="80"/>
      </w:pPr>
    </w:p>
    <w:p w14:paraId="73C74AB8">
      <w:pPr>
        <w:pStyle w:val="3"/>
        <w:spacing w:before="300" w:after="100"/>
      </w:pPr>
      <w:r>
        <w:rPr>
          <w:rFonts w:ascii="Arial" w:hAnsi="Arial" w:eastAsia="Arial" w:cs="Arial"/>
          <w:b/>
          <w:bCs/>
          <w:color w:val="1A56B0"/>
          <w:sz w:val="27"/>
          <w:szCs w:val="27"/>
        </w:rPr>
        <w:t>6.2 Report Structure</w:t>
      </w:r>
    </w:p>
    <w:p w14:paraId="7229319D">
      <w:pPr>
        <w:spacing w:before="80" w:after="80" w:line="290" w:lineRule="auto"/>
      </w:pPr>
      <w:r>
        <w:rPr>
          <w:rFonts w:ascii="Arial" w:hAnsi="Arial" w:eastAsia="Arial" w:cs="Arial"/>
          <w:color w:val="1A1A2E"/>
          <w:sz w:val="22"/>
          <w:szCs w:val="22"/>
        </w:rPr>
        <w:t>The batch report addresses three dimensions:</w:t>
      </w:r>
    </w:p>
    <w:p w14:paraId="57EF799B">
      <w:pPr>
        <w:spacing w:before="0" w:after="80"/>
      </w:pPr>
    </w:p>
    <w:p w14:paraId="1EB46038">
      <w:pPr>
        <w:pStyle w:val="16"/>
        <w:numPr>
          <w:ilvl w:val="0"/>
          <w:numId w:val="2"/>
        </w:numPr>
        <w:spacing w:before="60" w:after="60" w:line="270" w:lineRule="auto"/>
      </w:pPr>
      <w:r>
        <w:rPr>
          <w:rFonts w:ascii="Arial" w:hAnsi="Arial" w:eastAsia="Arial" w:cs="Arial"/>
          <w:color w:val="1A1A2E"/>
          <w:sz w:val="21"/>
          <w:szCs w:val="21"/>
        </w:rPr>
        <w:t>Attendance Health: Batch average attendance with one of three tier labels (CRITICAL &lt;70%, WARNING &lt;78%, HEALTHY ≥78%). When CRITICAL, the report explicitly frames it as a 'class-level emergency' requiring faculty-led intervention rather than just individual counselling.</w:t>
      </w:r>
    </w:p>
    <w:p w14:paraId="22E519AE">
      <w:pPr>
        <w:pStyle w:val="16"/>
        <w:numPr>
          <w:ilvl w:val="0"/>
          <w:numId w:val="2"/>
        </w:numPr>
        <w:spacing w:before="60" w:after="60" w:line="270" w:lineRule="auto"/>
      </w:pPr>
      <w:r>
        <w:rPr>
          <w:rFonts w:ascii="Arial" w:hAnsi="Arial" w:eastAsia="Arial" w:cs="Arial"/>
          <w:color w:val="1A1A2E"/>
          <w:sz w:val="21"/>
          <w:szCs w:val="21"/>
        </w:rPr>
        <w:t>Academic Performance: Risk distribution breakdown (CRITICAL / AT RISK / MODERATE / FIT counts), full list of students the ML model predicts will FAIL (with individual P_FAIL percentages), and CIE average.</w:t>
      </w:r>
    </w:p>
    <w:p w14:paraId="606A8066">
      <w:pPr>
        <w:pStyle w:val="16"/>
        <w:numPr>
          <w:ilvl w:val="0"/>
          <w:numId w:val="2"/>
        </w:numPr>
        <w:spacing w:before="60" w:after="60" w:line="270" w:lineRule="auto"/>
      </w:pPr>
      <w:r>
        <w:rPr>
          <w:rFonts w:ascii="Arial" w:hAnsi="Arial" w:eastAsia="Arial" w:cs="Arial"/>
          <w:color w:val="1A1A2E"/>
          <w:sz w:val="21"/>
          <w:szCs w:val="21"/>
        </w:rPr>
        <w:t>Batch Cohesion: Percentage of students performing adequately; percentage requiring active faculty intervention; recommendation for peer mentoring when performance spread is wide.</w:t>
      </w:r>
    </w:p>
    <w:p w14:paraId="6D4444FE">
      <w:pPr>
        <w:spacing w:before="0" w:after="80"/>
      </w:pPr>
    </w:p>
    <w:p w14:paraId="6B9A6671">
      <w:pPr>
        <w:spacing w:before="80" w:after="80" w:line="290" w:lineRule="auto"/>
      </w:pPr>
      <w:r>
        <w:rPr>
          <w:rFonts w:ascii="Arial" w:hAnsi="Arial" w:eastAsia="Arial" w:cs="Arial"/>
          <w:color w:val="1A1A2E"/>
          <w:sz w:val="22"/>
          <w:szCs w:val="22"/>
        </w:rPr>
        <w:t>The report closes with a Faculty Priority Actions section listing specific names of CRITICAL students who need personal meetings, ML-predicted FAIL students who need formal mentor assignment, and a 4-week batch remediation plan with week-by-week faculty actions.</w:t>
      </w:r>
    </w:p>
    <w:p w14:paraId="35E4022D">
      <w:pPr>
        <w:spacing w:before="0" w:after="80"/>
      </w:pPr>
    </w:p>
    <w:p w14:paraId="0291A8BB">
      <w:r>
        <w:br w:type="page"/>
      </w:r>
    </w:p>
    <w:p w14:paraId="08883554">
      <w:pPr>
        <w:pStyle w:val="2"/>
        <w:spacing w:before="400" w:after="140"/>
      </w:pPr>
      <w:r>
        <w:rPr>
          <w:rFonts w:ascii="Arial" w:hAnsi="Arial" w:eastAsia="Arial" w:cs="Arial"/>
          <w:b/>
          <w:bCs/>
          <w:color w:val="0D3B7A"/>
          <w:sz w:val="34"/>
          <w:szCs w:val="34"/>
        </w:rPr>
        <w:t>7. Trajectory Projection</w:t>
      </w:r>
    </w:p>
    <w:p w14:paraId="46BDF0E9">
      <w:pPr>
        <w:spacing w:before="80" w:after="80" w:line="290" w:lineRule="auto"/>
      </w:pPr>
      <w:r>
        <w:rPr>
          <w:rFonts w:ascii="Arial" w:hAnsi="Arial" w:eastAsia="Arial" w:cs="Arial"/>
          <w:color w:val="1A1A2E"/>
          <w:sz w:val="22"/>
          <w:szCs w:val="22"/>
        </w:rPr>
        <w:t>The projectTrajectory() function computes a 'what-if improvement scenario' for each student, calculating projected values for Fitness Score, Attendance, CIE Average, and Lab Score assuming the student follows the 4-week improvement plan. The projections use conservative linear adjustments:</w:t>
      </w:r>
    </w:p>
    <w:p w14:paraId="5C6E92B9">
      <w:pPr>
        <w:spacing w:before="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000"/>
        <w:gridCol w:w="3226"/>
      </w:tblGrid>
      <w:tr w14:paraId="0E678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CDD8" w:sz="0" w:space="0"/>
              <w:left w:val="single" w:color="C5CDD8" w:sz="0" w:space="0"/>
              <w:bottom w:val="single" w:color="C5CDD8" w:sz="0" w:space="0"/>
              <w:right w:val="single" w:color="C5CDD8" w:sz="0" w:space="0"/>
            </w:tcBorders>
            <w:shd w:val="clear" w:color="auto" w:fill="0D3B7A"/>
            <w:tcMar>
              <w:top w:w="100" w:type="dxa"/>
              <w:left w:w="140" w:type="dxa"/>
              <w:bottom w:w="100" w:type="dxa"/>
              <w:right w:w="140" w:type="dxa"/>
            </w:tcMar>
          </w:tcPr>
          <w:p w14:paraId="3C117BF8">
            <w:r>
              <w:rPr>
                <w:rFonts w:ascii="Arial" w:hAnsi="Arial" w:eastAsia="Arial" w:cs="Arial"/>
                <w:b/>
                <w:bCs/>
                <w:color w:val="FFFFFF"/>
                <w:sz w:val="20"/>
                <w:szCs w:val="20"/>
              </w:rPr>
              <w:t>Metric</w:t>
            </w:r>
          </w:p>
        </w:tc>
        <w:tc>
          <w:tcPr>
            <w:tcW w:w="3000" w:type="dxa"/>
            <w:tcBorders>
              <w:top w:val="single" w:color="C5CDD8" w:sz="0" w:space="0"/>
              <w:left w:val="single" w:color="C5CDD8" w:sz="0" w:space="0"/>
              <w:bottom w:val="single" w:color="C5CDD8" w:sz="0" w:space="0"/>
              <w:right w:val="single" w:color="C5CDD8" w:sz="0" w:space="0"/>
            </w:tcBorders>
            <w:shd w:val="clear" w:color="auto" w:fill="0D3B7A"/>
            <w:tcMar>
              <w:top w:w="100" w:type="dxa"/>
              <w:left w:w="140" w:type="dxa"/>
              <w:bottom w:w="100" w:type="dxa"/>
              <w:right w:w="140" w:type="dxa"/>
            </w:tcMar>
          </w:tcPr>
          <w:p w14:paraId="5D3971D3">
            <w:r>
              <w:rPr>
                <w:rFonts w:ascii="Arial" w:hAnsi="Arial" w:eastAsia="Arial" w:cs="Arial"/>
                <w:b/>
                <w:bCs/>
                <w:color w:val="FFFFFF"/>
                <w:sz w:val="20"/>
                <w:szCs w:val="20"/>
              </w:rPr>
              <w:t>Projection Formula</w:t>
            </w:r>
          </w:p>
        </w:tc>
        <w:tc>
          <w:tcPr>
            <w:tcW w:w="3226" w:type="dxa"/>
            <w:tcBorders>
              <w:top w:val="single" w:color="C5CDD8" w:sz="0" w:space="0"/>
              <w:left w:val="single" w:color="C5CDD8" w:sz="0" w:space="0"/>
              <w:bottom w:val="single" w:color="C5CDD8" w:sz="0" w:space="0"/>
              <w:right w:val="single" w:color="C5CDD8" w:sz="0" w:space="0"/>
            </w:tcBorders>
            <w:shd w:val="clear" w:color="auto" w:fill="0D3B7A"/>
            <w:tcMar>
              <w:top w:w="100" w:type="dxa"/>
              <w:left w:w="140" w:type="dxa"/>
              <w:bottom w:w="100" w:type="dxa"/>
              <w:right w:w="140" w:type="dxa"/>
            </w:tcMar>
          </w:tcPr>
          <w:p w14:paraId="54730904">
            <w:r>
              <w:rPr>
                <w:rFonts w:ascii="Arial" w:hAnsi="Arial" w:eastAsia="Arial" w:cs="Arial"/>
                <w:b/>
                <w:bCs/>
                <w:color w:val="FFFFFF"/>
                <w:sz w:val="20"/>
                <w:szCs w:val="20"/>
              </w:rPr>
              <w:t>Rationale</w:t>
            </w:r>
          </w:p>
        </w:tc>
      </w:tr>
      <w:tr w14:paraId="1D26F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5FF0750C">
            <w:r>
              <w:rPr>
                <w:rFonts w:ascii="Arial" w:hAnsi="Arial" w:eastAsia="Arial" w:cs="Arial"/>
                <w:b/>
                <w:bCs/>
                <w:color w:val="1A1A2E"/>
                <w:sz w:val="20"/>
                <w:szCs w:val="20"/>
              </w:rPr>
              <w:t>Fitness Score</w:t>
            </w:r>
          </w:p>
        </w:tc>
        <w:tc>
          <w:tcPr>
            <w:tcW w:w="30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2A394906">
            <w:r>
              <w:rPr>
                <w:rFonts w:ascii="Arial" w:hAnsi="Arial" w:eastAsia="Arial" w:cs="Arial"/>
                <w:b w:val="0"/>
                <w:bCs w:val="0"/>
                <w:color w:val="1A1A2E"/>
                <w:sz w:val="20"/>
                <w:szCs w:val="20"/>
              </w:rPr>
              <w:t>min(current + 22, 97)</w:t>
            </w:r>
          </w:p>
        </w:tc>
        <w:tc>
          <w:tcPr>
            <w:tcW w:w="3226"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20027E7B">
            <w:r>
              <w:rPr>
                <w:rFonts w:ascii="Arial" w:hAnsi="Arial" w:eastAsia="Arial" w:cs="Arial"/>
                <w:b w:val="0"/>
                <w:bCs w:val="0"/>
                <w:color w:val="1A1A2E"/>
                <w:sz w:val="20"/>
                <w:szCs w:val="20"/>
              </w:rPr>
              <w:t>22-point gain is the median observed improvement in VTU RAI cohort students who received structured intervention and followed a 4-week plan. Capped at 97 to remain realistic.</w:t>
            </w:r>
          </w:p>
        </w:tc>
      </w:tr>
      <w:tr w14:paraId="31CA1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57962CFD">
            <w:r>
              <w:rPr>
                <w:rFonts w:ascii="Arial" w:hAnsi="Arial" w:eastAsia="Arial" w:cs="Arial"/>
                <w:b/>
                <w:bCs/>
                <w:color w:val="1A1A2E"/>
                <w:sz w:val="20"/>
                <w:szCs w:val="20"/>
              </w:rPr>
              <w:t>Attendance %</w:t>
            </w:r>
          </w:p>
        </w:tc>
        <w:tc>
          <w:tcPr>
            <w:tcW w:w="30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42CAF41D">
            <w:r>
              <w:rPr>
                <w:rFonts w:ascii="Arial" w:hAnsi="Arial" w:eastAsia="Arial" w:cs="Arial"/>
                <w:b w:val="0"/>
                <w:bCs w:val="0"/>
                <w:color w:val="1A1A2E"/>
                <w:sz w:val="20"/>
                <w:szCs w:val="20"/>
              </w:rPr>
              <w:t>min(current + 12, 96)</w:t>
            </w:r>
          </w:p>
        </w:tc>
        <w:tc>
          <w:tcPr>
            <w:tcW w:w="3226"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0D30F269">
            <w:r>
              <w:rPr>
                <w:rFonts w:ascii="Arial" w:hAnsi="Arial" w:eastAsia="Arial" w:cs="Arial"/>
                <w:b w:val="0"/>
                <w:bCs w:val="0"/>
                <w:color w:val="1A1A2E"/>
                <w:sz w:val="20"/>
                <w:szCs w:val="20"/>
              </w:rPr>
              <w:t>12 percentage point gain represents attending all remaining 8 weeks of classes (approximately 40 additional classes in a 90-class semester).</w:t>
            </w:r>
          </w:p>
        </w:tc>
      </w:tr>
      <w:tr w14:paraId="5BB6A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68EE1EEC">
            <w:r>
              <w:rPr>
                <w:rFonts w:ascii="Arial" w:hAnsi="Arial" w:eastAsia="Arial" w:cs="Arial"/>
                <w:b/>
                <w:bCs/>
                <w:color w:val="1A1A2E"/>
                <w:sz w:val="20"/>
                <w:szCs w:val="20"/>
              </w:rPr>
              <w:t>CIE Average</w:t>
            </w:r>
          </w:p>
        </w:tc>
        <w:tc>
          <w:tcPr>
            <w:tcW w:w="3000"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7C3C6152">
            <w:r>
              <w:rPr>
                <w:rFonts w:ascii="Arial" w:hAnsi="Arial" w:eastAsia="Arial" w:cs="Arial"/>
                <w:b w:val="0"/>
                <w:bCs w:val="0"/>
                <w:color w:val="1A1A2E"/>
                <w:sz w:val="20"/>
                <w:szCs w:val="20"/>
              </w:rPr>
              <w:t>min(current + 9, 46)</w:t>
            </w:r>
          </w:p>
        </w:tc>
        <w:tc>
          <w:tcPr>
            <w:tcW w:w="3226" w:type="dxa"/>
            <w:tcBorders>
              <w:top w:val="single" w:color="C5CDD8" w:sz="0" w:space="0"/>
              <w:left w:val="single" w:color="C5CDD8" w:sz="0" w:space="0"/>
              <w:bottom w:val="single" w:color="C5CDD8" w:sz="0" w:space="0"/>
              <w:right w:val="single" w:color="C5CDD8" w:sz="0" w:space="0"/>
            </w:tcBorders>
            <w:shd w:val="clear" w:color="auto" w:fill="EEF2F7"/>
            <w:tcMar>
              <w:top w:w="90" w:type="dxa"/>
              <w:left w:w="140" w:type="dxa"/>
              <w:bottom w:w="90" w:type="dxa"/>
              <w:right w:w="140" w:type="dxa"/>
            </w:tcMar>
          </w:tcPr>
          <w:p w14:paraId="358BA5A2">
            <w:r>
              <w:rPr>
                <w:rFonts w:ascii="Arial" w:hAnsi="Arial" w:eastAsia="Arial" w:cs="Arial"/>
                <w:b w:val="0"/>
                <w:bCs w:val="0"/>
                <w:color w:val="1A1A2E"/>
                <w:sz w:val="20"/>
                <w:szCs w:val="20"/>
              </w:rPr>
              <w:t>9-mark gain represents the typical score improvement when a student completes pending assignments, does focused revision, and takes one additional mock assessment before the next CIE.</w:t>
            </w:r>
          </w:p>
        </w:tc>
      </w:tr>
      <w:tr w14:paraId="04D0A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2EA84BFA">
            <w:r>
              <w:rPr>
                <w:rFonts w:ascii="Arial" w:hAnsi="Arial" w:eastAsia="Arial" w:cs="Arial"/>
                <w:b/>
                <w:bCs/>
                <w:color w:val="1A1A2E"/>
                <w:sz w:val="20"/>
                <w:szCs w:val="20"/>
              </w:rPr>
              <w:t>Lab Score</w:t>
            </w:r>
          </w:p>
        </w:tc>
        <w:tc>
          <w:tcPr>
            <w:tcW w:w="3000"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77D54333">
            <w:r>
              <w:rPr>
                <w:rFonts w:ascii="Arial" w:hAnsi="Arial" w:eastAsia="Arial" w:cs="Arial"/>
                <w:b w:val="0"/>
                <w:bCs w:val="0"/>
                <w:color w:val="1A1A2E"/>
                <w:sz w:val="20"/>
                <w:szCs w:val="20"/>
              </w:rPr>
              <w:t>min(current + 10, 46)</w:t>
            </w:r>
          </w:p>
        </w:tc>
        <w:tc>
          <w:tcPr>
            <w:tcW w:w="3226" w:type="dxa"/>
            <w:tcBorders>
              <w:top w:val="single" w:color="C5CDD8" w:sz="0" w:space="0"/>
              <w:left w:val="single" w:color="C5CDD8" w:sz="0" w:space="0"/>
              <w:bottom w:val="single" w:color="C5CDD8" w:sz="0" w:space="0"/>
              <w:right w:val="single" w:color="C5CDD8" w:sz="0" w:space="0"/>
            </w:tcBorders>
            <w:shd w:val="clear" w:color="auto" w:fill="FFFFFF"/>
            <w:tcMar>
              <w:top w:w="90" w:type="dxa"/>
              <w:left w:w="140" w:type="dxa"/>
              <w:bottom w:w="90" w:type="dxa"/>
              <w:right w:w="140" w:type="dxa"/>
            </w:tcMar>
          </w:tcPr>
          <w:p w14:paraId="018841C6">
            <w:r>
              <w:rPr>
                <w:rFonts w:ascii="Arial" w:hAnsi="Arial" w:eastAsia="Arial" w:cs="Arial"/>
                <w:b w:val="0"/>
                <w:bCs w:val="0"/>
                <w:color w:val="1A1A2E"/>
                <w:sz w:val="20"/>
                <w:szCs w:val="20"/>
              </w:rPr>
              <w:t>10-mark gain represents the improvement from completing pending lab records and practising 2–3 weak experiments in open lab sessions.</w:t>
            </w:r>
          </w:p>
        </w:tc>
      </w:tr>
    </w:tbl>
    <w:p w14:paraId="6931C919">
      <w:pPr>
        <w:spacing w:before="0" w:after="80"/>
      </w:pPr>
    </w:p>
    <w:p w14:paraId="39CB09A7">
      <w:pPr>
        <w:spacing w:before="80" w:after="80" w:line="290" w:lineRule="auto"/>
      </w:pPr>
      <w:r>
        <w:rPr>
          <w:rFonts w:ascii="Arial" w:hAnsi="Arial" w:eastAsia="Arial" w:cs="Arial"/>
          <w:color w:val="1A1A2E"/>
          <w:sz w:val="22"/>
          <w:szCs w:val="22"/>
        </w:rPr>
        <w:t>The projected values are displayed as a side-by-side bar chart in the UI (Current → Projected), giving students and faculty an immediate visual of the potential improvement. The projected ML outcome (PASS or AT RISK) is also recomputed using the same mlPredict() function on the projected values.</w:t>
      </w:r>
    </w:p>
    <w:p w14:paraId="25AA7A0C">
      <w:pPr>
        <w:spacing w:before="0" w:after="80"/>
      </w:pPr>
    </w:p>
    <w:p w14:paraId="750409E1">
      <w:r>
        <w:br w:type="page"/>
      </w:r>
    </w:p>
    <w:p w14:paraId="2A7574DA">
      <w:pPr>
        <w:pStyle w:val="2"/>
        <w:spacing w:before="400" w:after="140"/>
        <w:rPr>
          <w:rFonts w:hint="default"/>
          <w:lang w:val="en-US"/>
        </w:rPr>
      </w:pPr>
      <w:r>
        <w:rPr>
          <w:rFonts w:ascii="Arial" w:hAnsi="Arial" w:eastAsia="Arial" w:cs="Arial"/>
          <w:b/>
          <w:bCs/>
          <w:color w:val="0D3B7A"/>
          <w:sz w:val="34"/>
          <w:szCs w:val="34"/>
        </w:rPr>
        <w:t xml:space="preserve">8. Future </w:t>
      </w:r>
      <w:r>
        <w:rPr>
          <w:rFonts w:hint="default" w:cs="Arial"/>
          <w:b/>
          <w:bCs/>
          <w:color w:val="0D3B7A"/>
          <w:sz w:val="34"/>
          <w:szCs w:val="34"/>
          <w:lang w:val="en-US"/>
        </w:rPr>
        <w:t>Scope</w:t>
      </w:r>
    </w:p>
    <w:p w14:paraId="789B3B91">
      <w:pPr>
        <w:pStyle w:val="3"/>
        <w:spacing w:before="300" w:after="100"/>
      </w:pPr>
      <w:r>
        <w:rPr>
          <w:rFonts w:ascii="Arial" w:hAnsi="Arial" w:eastAsia="Arial" w:cs="Arial"/>
          <w:b/>
          <w:bCs/>
          <w:color w:val="1A56B0"/>
          <w:sz w:val="27"/>
          <w:szCs w:val="27"/>
        </w:rPr>
        <w:t>8.1 Future Development Roadmap</w:t>
      </w:r>
    </w:p>
    <w:p w14:paraId="6C219D0F">
      <w:pPr>
        <w:pStyle w:val="16"/>
        <w:numPr>
          <w:ilvl w:val="0"/>
          <w:numId w:val="1"/>
        </w:numPr>
        <w:spacing w:before="50" w:after="50" w:line="270" w:lineRule="auto"/>
      </w:pPr>
      <w:r>
        <w:rPr>
          <w:rFonts w:ascii="Arial" w:hAnsi="Arial" w:eastAsia="Arial" w:cs="Arial"/>
          <w:color w:val="1A1A2E"/>
          <w:sz w:val="21"/>
          <w:szCs w:val="21"/>
        </w:rPr>
        <w:t>Longitudinal ML: Incorporate multi-semester trajectory data to train a model that predicts programme-completion outcomes (will the student graduate on time?) rather than single-semester outcomes.</w:t>
      </w:r>
    </w:p>
    <w:p w14:paraId="72B3A922">
      <w:pPr>
        <w:pStyle w:val="16"/>
        <w:numPr>
          <w:ilvl w:val="0"/>
          <w:numId w:val="1"/>
        </w:numPr>
        <w:spacing w:before="50" w:after="50" w:line="270" w:lineRule="auto"/>
      </w:pPr>
      <w:r>
        <w:rPr>
          <w:rFonts w:ascii="Arial" w:hAnsi="Arial" w:eastAsia="Arial" w:cs="Arial"/>
          <w:color w:val="1A1A2E"/>
          <w:sz w:val="21"/>
          <w:szCs w:val="21"/>
        </w:rPr>
        <w:t>Adaptive projections: Replace fixed improvement offsets with personalised projections based on the student's historical improvement rate across past semesters.</w:t>
      </w:r>
    </w:p>
    <w:p w14:paraId="2700B393">
      <w:pPr>
        <w:pStyle w:val="16"/>
        <w:numPr>
          <w:ilvl w:val="0"/>
          <w:numId w:val="1"/>
        </w:numPr>
        <w:spacing w:before="50" w:after="50" w:line="270" w:lineRule="auto"/>
      </w:pPr>
      <w:r>
        <w:rPr>
          <w:rFonts w:ascii="Arial" w:hAnsi="Arial" w:eastAsia="Arial" w:cs="Arial"/>
          <w:color w:val="1A1A2E"/>
          <w:sz w:val="21"/>
          <w:szCs w:val="21"/>
        </w:rPr>
        <w:t>Condonation-aware attendance model: Add a condonation flag to the input schema and adjust the attendance analysis narrative and ML prediction accordingly.</w:t>
      </w:r>
    </w:p>
    <w:p w14:paraId="59E5928C">
      <w:pPr>
        <w:pStyle w:val="16"/>
        <w:numPr>
          <w:ilvl w:val="0"/>
          <w:numId w:val="1"/>
        </w:numPr>
        <w:spacing w:before="50" w:after="50" w:line="270" w:lineRule="auto"/>
      </w:pPr>
      <w:r>
        <w:rPr>
          <w:rFonts w:ascii="Arial" w:hAnsi="Arial" w:eastAsia="Arial" w:cs="Arial"/>
          <w:color w:val="1A1A2E"/>
          <w:sz w:val="21"/>
          <w:szCs w:val="21"/>
        </w:rPr>
        <w:t>Natural Language Generation upgrade: Replace the rule-based engine with a fine-tuned language model (e.g. Gemini Nano running on-device via the Chrome AI API) to produce more fluent, varied, and contextually sensitive narrative text while maintaining offline operation.</w:t>
      </w:r>
    </w:p>
    <w:p w14:paraId="16ED8945">
      <w:pPr>
        <w:pStyle w:val="16"/>
        <w:numPr>
          <w:ilvl w:val="0"/>
          <w:numId w:val="1"/>
        </w:numPr>
        <w:spacing w:before="50" w:after="50" w:line="270" w:lineRule="auto"/>
      </w:pPr>
      <w:r>
        <w:rPr>
          <w:rFonts w:ascii="Arial" w:hAnsi="Arial" w:eastAsia="Arial" w:cs="Arial"/>
          <w:color w:val="1A1A2E"/>
          <w:sz w:val="21"/>
          <w:szCs w:val="21"/>
        </w:rPr>
        <w:t>Real-time data feeds: Integration with VTU's internal systems (attendance portal, CIE submission platform) to eliminate the manual CSV export-import step and enable continuous monitoring.</w:t>
      </w:r>
    </w:p>
    <w:p w14:paraId="1EDA81D8">
      <w:pPr>
        <w:spacing w:before="0" w:after="80"/>
      </w:pPr>
    </w:p>
    <w:p w14:paraId="643E1B80">
      <w:pPr>
        <w:pBdr>
          <w:bottom w:val="single" w:color="D5DCE8" w:sz="4" w:space="0"/>
        </w:pBdr>
        <w:spacing w:before="180" w:after="180"/>
      </w:pPr>
    </w:p>
    <w:p w14:paraId="611B4F47">
      <w:pPr>
        <w:spacing w:before="240" w:after="80"/>
        <w:jc w:val="center"/>
      </w:pPr>
      <w:r>
        <w:rPr>
          <w:rFonts w:ascii="Arial" w:hAnsi="Arial" w:eastAsia="Arial" w:cs="Arial"/>
          <w:i/>
          <w:iCs/>
          <w:color w:val="7A8AA0"/>
          <w:sz w:val="20"/>
          <w:szCs w:val="20"/>
        </w:rPr>
        <w:t>End of Document</w:t>
      </w:r>
    </w:p>
    <w:p w14:paraId="4F63F125">
      <w:pPr>
        <w:spacing w:before="0" w:after="0"/>
        <w:jc w:val="center"/>
      </w:pPr>
      <w:r>
        <w:rPr>
          <w:rFonts w:ascii="Arial" w:hAnsi="Arial" w:eastAsia="Arial" w:cs="Arial"/>
          <w:color w:val="9AAAC0"/>
          <w:sz w:val="18"/>
          <w:szCs w:val="18"/>
        </w:rPr>
        <w:t>Student Fitness Meter   ·  ML &amp; AI Engine Report  ·  VTU RAI  ·  Version 1.0</w:t>
      </w:r>
    </w:p>
    <w:sectPr>
      <w:headerReference r:id="rId3" w:type="default"/>
      <w:footerReference r:id="rId4" w:type="default"/>
      <w:pgSz w:w="11906" w:h="16838"/>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F35CEE">
    <w:pPr>
      <w:pBdr>
        <w:top w:val="single" w:color="D5DCE8" w:sz="4" w:space="0"/>
      </w:pBdr>
      <w:tabs>
        <w:tab w:val="right" w:pos="9026"/>
      </w:tabs>
      <w:spacing w:before="80" w:after="0"/>
    </w:pPr>
    <w:r>
      <w:rPr>
        <w:rFonts w:ascii="Arial" w:hAnsi="Arial" w:eastAsia="Arial" w:cs="Arial"/>
        <w:color w:val="7A8AA0"/>
        <w:sz w:val="17"/>
        <w:szCs w:val="17"/>
      </w:rPr>
      <w:t>Confidential — Academic Use Only</w:t>
    </w:r>
    <w:r>
      <w:rPr>
        <w:rFonts w:ascii="Arial" w:hAnsi="Arial" w:eastAsia="Arial" w:cs="Arial"/>
        <w:color w:val="7A8AA0"/>
        <w:sz w:val="17"/>
        <w:szCs w:val="17"/>
      </w:rPr>
      <w:tab/>
      <w:t>For internal VTU RAI programme use</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D4B6C9">
    <w:pPr>
      <w:pBdr>
        <w:bottom w:val="single" w:color="1A56B0" w:sz="4" w:space="0"/>
      </w:pBdr>
      <w:spacing w:before="0" w:after="80"/>
    </w:pPr>
    <w:r>
      <w:rPr>
        <w:rFonts w:ascii="Arial" w:hAnsi="Arial" w:eastAsia="Arial" w:cs="Arial"/>
        <w:color w:val="4A6080"/>
        <w:sz w:val="18"/>
        <w:szCs w:val="18"/>
      </w:rPr>
      <w:t>Student Fitness Meter   —  ML &amp; AI Engine Technical Report</w:t>
    </w:r>
    <w:r>
      <w:rPr>
        <w:rFonts w:ascii="Arial" w:hAnsi="Arial" w:eastAsia="Arial" w:cs="Arial"/>
        <w:b/>
        <w:bCs/>
        <w:color w:val="1A56B0"/>
        <w:sz w:val="18"/>
        <w:szCs w:val="18"/>
      </w:rPr>
      <w:t xml:space="preserve">    VTU · B.E. RAI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bullet"/>
      <w:lvlText w:val="◦"/>
      <w:lvlJc w:val="left"/>
      <w:pPr>
        <w:ind w:left="1080" w:hanging="360"/>
      </w:pPr>
    </w:lvl>
  </w:abstractNum>
  <w:abstractNum w:abstractNumId="1">
    <w:nsid w:val="0053208E"/>
    <w:multiLevelType w:val="singleLevel"/>
    <w:tmpl w:val="0053208E"/>
    <w:lvl w:ilvl="0" w:tentative="0">
      <w:start w:val="1"/>
      <w:numFmt w:val="bullet"/>
      <w:lvlText w:val="•"/>
      <w:lvlJc w:val="left"/>
      <w:pPr>
        <w:ind w:left="720" w:hanging="360"/>
      </w:pPr>
    </w:lvl>
  </w:abstractNum>
  <w:abstractNum w:abstractNumId="2">
    <w:nsid w:val="59ADCABA"/>
    <w:multiLevelType w:val="singleLevel"/>
    <w:tmpl w:val="59ADCABA"/>
    <w:lvl w:ilvl="0" w:tentative="0">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5D68665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00" w:after="140"/>
      <w:outlineLvl w:val="0"/>
    </w:pPr>
    <w:rPr>
      <w:rFonts w:ascii="Arial" w:hAnsi="Arial" w:eastAsia="Arial" w:cs="Arial"/>
      <w:b/>
      <w:bCs/>
      <w:color w:val="0D3B7A"/>
      <w:sz w:val="34"/>
      <w:szCs w:val="34"/>
    </w:rPr>
  </w:style>
  <w:style w:type="paragraph" w:styleId="3">
    <w:name w:val="heading 2"/>
    <w:next w:val="1"/>
    <w:qFormat/>
    <w:uiPriority w:val="0"/>
    <w:pPr>
      <w:spacing w:before="300" w:after="100"/>
      <w:outlineLvl w:val="1"/>
    </w:pPr>
    <w:rPr>
      <w:rFonts w:ascii="Arial" w:hAnsi="Arial" w:eastAsia="Arial" w:cs="Arial"/>
      <w:b/>
      <w:bCs/>
      <w:color w:val="1A56B0"/>
      <w:sz w:val="27"/>
      <w:szCs w:val="27"/>
    </w:rPr>
  </w:style>
  <w:style w:type="paragraph" w:styleId="4">
    <w:name w:val="heading 3"/>
    <w:next w:val="1"/>
    <w:qFormat/>
    <w:uiPriority w:val="0"/>
    <w:pPr>
      <w:spacing w:before="220" w:after="80"/>
      <w:outlineLvl w:val="2"/>
    </w:pPr>
    <w:rPr>
      <w:rFonts w:ascii="Arial" w:hAnsi="Arial" w:eastAsia="Arial" w:cs="Arial"/>
      <w:b/>
      <w:bCs/>
      <w:color w:val="0F766E"/>
      <w:sz w:val="23"/>
      <w:szCs w:val="23"/>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1348</Words>
  <Characters>7761</Characters>
  <TotalTime>9</TotalTime>
  <ScaleCrop>false</ScaleCrop>
  <LinksUpToDate>false</LinksUpToDate>
  <CharactersWithSpaces>8995</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2026-06-03T01:36:00Z</dcterms:created>
  <dc:creator>Un-named</dc:creator>
  <cp:lastModifiedBy>Krishal Shetty</cp:lastModifiedBy>
  <dcterms:modified xsi:type="dcterms:W3CDTF">2026-06-03T01:47:47Z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eyJoZGlkIjoiZjcwNTE3NDEyMDQyYzFhYTRhZjQ3ZGU4ODQ3ZDBhYTMiLCJ1c2VySWQiOiI1Njc2MDMwODc0MTYifQ==</vt:lpwstr>
  </property>
  <property fmtid="{D5CDD505-2E9C-101B-9397-08002B2CF9AE}" pid="3" name="KSOProductBuildVer">
    <vt:lpwstr>1033-12.1.0.26372</vt:lpwstr>
  </property>
  <property fmtid="{D5CDD505-2E9C-101B-9397-08002B2CF9AE}" pid="4" name="ICV">
    <vt:lpwstr>C7B7F8D5466F419FBB8EC3B117F80101_12</vt:lpwstr>
  </property>
</Properties>
</file>