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Hybrid Multi-Agent Ensemble for Adaptive Price Discovery:</w:t>
      </w:r>
    </w:p>
    <w:p>
      <w:pPr>
        <w:jc w:val="center"/>
      </w:pPr>
      <w:r>
        <w:rPr>
          <w:b/>
          <w:color w:val="1F4E78"/>
          <w:sz w:val="36"/>
        </w:rPr>
        <w:t>A Medallion-Inspired Architecture with Regime-Aware Risk Management</w:t>
      </w:r>
    </w:p>
    <w:p/>
    <w:p>
      <w:pPr>
        <w:jc w:val="center"/>
      </w:pPr>
      <w:r>
        <w:rPr>
          <w:i/>
          <w:sz w:val="22"/>
        </w:rPr>
        <w:t>Anna Nilsson¹*, Erik Svensson², Magdalena Kovaleva³</w:t>
      </w:r>
    </w:p>
    <w:p>
      <w:pPr>
        <w:jc w:val="center"/>
      </w:pPr>
      <w:r>
        <w:rPr>
          <w:sz w:val="20"/>
        </w:rPr>
        <w:t>¹Royal Institute of Technology (KTH), Department of Industrial Engineering and Management</w:t>
      </w:r>
    </w:p>
    <w:p>
      <w:pPr>
        <w:jc w:val="center"/>
      </w:pPr>
      <w:r>
        <w:rPr>
          <w:sz w:val="20"/>
        </w:rPr>
        <w:t>²KTH Centre for Monetary and Financial Research, Stockholm, Sweden</w:t>
      </w:r>
    </w:p>
    <w:p>
      <w:pPr>
        <w:jc w:val="center"/>
      </w:pPr>
      <w:r>
        <w:rPr>
          <w:sz w:val="20"/>
        </w:rPr>
        <w:t>³Department of Telecommunications, KTH Royal Institute of Technology</w:t>
      </w:r>
    </w:p>
    <w:p>
      <w:pPr>
        <w:jc w:val="center"/>
      </w:pPr>
      <w:r>
        <w:rPr>
          <w:sz w:val="20"/>
        </w:rPr>
        <w:t>*Corresponding author: a.nilsson@kth.se</w:t>
      </w:r>
    </w:p>
    <w:p/>
    <w:p/>
    <w:p>
      <w:pPr>
        <w:pStyle w:val="Heading1"/>
      </w:pPr>
      <w:r>
        <w:t>Abstract</w:t>
      </w:r>
    </w:p>
    <w:p>
      <w:pPr>
        <w:jc w:val="both"/>
      </w:pPr>
      <w:r>
        <w:t>This paper presents a novel multi-agent ensemble architecture for algorithmic trading that synthesizes expectation-driven decision-making, structural regime classification, and supervised machine learning within a unified framework inspired by the Medallion Fund's adaptive signal generation paradigm. The system operationalizes three autonomous agents—Expectation, Structure, and Machine Learning—that collectively determine trading positions through consensus-based voting with hierarchical conflict resolution. We employ stationary block bootstrap resampling for robust monte carlo price projection, incorporating tail risk estimation for position sizing via fractional Kelly optimization. Regime classification via Gaussian Mixture Models provides adaptive context for feature evaluation. Empirical validation across multiple asset classes demonstrates superior risk-adjusted returns with notable improvements in Sharpe ratio and maximum drawdown metrics. Our architecture introduces principled uncertainty quantification, superior to naïve point forecasting approaches, and demonstrates interpretable feature importance through ensemble learning. The system exhibits regime-aware adaptivity, suggesting that hybrid multi-agent architectures can effectively model market microstructure while maintaining computational tractability. The paper contributes both theoretical insights into consensus-based decision-making in financial systems and practical advances in operational trading system design.</w:t>
      </w:r>
    </w:p>
    <w:p>
      <w:r>
        <w:rPr>
          <w:i/>
        </w:rPr>
        <w:t>Keywords: Algorithmic trading; Multi-agent systems; Ensemble learning; Regime classification; Risk management; Bootstrap resampling; Quantitative finance</w:t>
      </w:r>
    </w:p>
    <w:p>
      <w:r>
        <w:br w:type="page"/>
      </w:r>
    </w:p>
    <w:p>
      <w:pPr>
        <w:pStyle w:val="Heading1"/>
      </w:pPr>
      <w:r>
        <w:t>1. Introduction</w:t>
      </w:r>
    </w:p>
    <w:p>
      <w:pPr>
        <w:jc w:val="both"/>
      </w:pPr>
      <w:r>
        <w:t>The quantitative finance industry has long sought to develop systematic trading methodologies that leverage multiple complementary information sources while maintaining rigorous risk controls. The Medallion Fund, operated by Renaissance Technologies, achieved legendary returns over three decades through proprietary signal generation systems exploiting market microstructure inefficiencies [1]. While specific Medallion mechanisms remain proprietary, academic literature suggests the fund employs sophisticated feature engineering, diverse statistical classifiers, and robust ensemble methods to synthesize trading decisions [2][3]. This paper advances the state-of-practice by proposing an interpretable, open-source implementation of a Medallion-inspired architecture for public markets.</w:t>
      </w:r>
    </w:p>
    <w:p>
      <w:pPr>
        <w:jc w:val="both"/>
      </w:pPr>
      <w:r>
        <w:t>A central methodological innovation in our approach lies in decomposing trading decision logic into three specialized agents, each encoding distinct economic intuitions: (1) expectation-driven analysis computing risk-adjusted statistical edges; (2) structural screening based on market regime and momentum conditions; and (3) supervised classification integrating non-linear predictive signals. This decomposition mirrors organizational practices in systematic hedge funds, where specialized teams independently assess opportunities before portfolio committees synthesize decisions. Our consensus-based voting mechanism with hierarchical conflict resolution creates a principled integration framework that avoids ad hoc parameter tuning and improves interpretability relative to end-to-end deep learning alternatives [4].</w:t>
      </w:r>
    </w:p>
    <w:p>
      <w:pPr>
        <w:jc w:val="both"/>
      </w:pPr>
      <w:r>
        <w:t>For risk management, we implement stationary block bootstrap resampling [5] to generate realistic simulated price paths that preserve autocorrelation structure and distributional properties of observed returns, enabling robust estimation of scenario-dependent tail risks. Fractional Kelly position sizing [6] converts expected returns and tail risk metrics into allocation decisions that balance growth objectives with drawdown constraints. Gaussian Mixture Model regime classification [7] provides adaptive filtering, reducing signal conviction in ambiguous market states.</w:t>
      </w:r>
    </w:p>
    <w:p>
      <w:pPr>
        <w:jc w:val="both"/>
      </w:pPr>
      <w:r>
        <w:t>This paper makes four primary contributions: (i) operationalizes a transparent multi-agent ensemble architecture suitable for reproducible quantitative finance research; (ii) demonstrates regime-adaptive decision-making through principled Bayesian regime filtering; (iii) provides comprehensive risk quantification via bootstrap-based scenario analysis; and (iv) achieves competitive feature importance rankings comparable to institutional-grade signal research. We validate our approach across equities, cryptoassets, and international markets, documenting regime-dependent performance patterns consistent with financial market theory.</w:t>
      </w:r>
    </w:p>
    <w:p>
      <w:pPr>
        <w:pStyle w:val="Heading1"/>
      </w:pPr>
      <w:r>
        <w:t>2. Related Work</w:t>
      </w:r>
    </w:p>
    <w:p>
      <w:pPr>
        <w:pStyle w:val="Heading2"/>
      </w:pPr>
      <w:r>
        <w:t>2.1 Ensemble Methods in Quantitative Finance</w:t>
      </w:r>
    </w:p>
    <w:p>
      <w:pPr>
        <w:jc w:val="both"/>
      </w:pPr>
      <w:r>
        <w:t>Ensemble learning—combining predictions from multiple models to improve accuracy and reduce overfitting—has become foundational in predictive finance. Leitch and Tanner [8] early demonstrated that combining forecasts from heterogeneous models reduces mean squared error relative to individual models. Random Forests [9], which aggregate bootstrap samples and random feature subsets, have found extensive application in financial classification tasks including credit scoring [10] and market regime detection [11]. Our use of Random Forests for buy/sell classification aligns with this established literature while maintaining interpretability through feature importance analysis.</w:t>
      </w:r>
    </w:p>
    <w:p>
      <w:pPr>
        <w:pStyle w:val="Heading2"/>
      </w:pPr>
      <w:r>
        <w:t>2.2 Multi-Agent Systems and Consensus Mechanisms</w:t>
      </w:r>
    </w:p>
    <w:p>
      <w:pPr>
        <w:jc w:val="both"/>
      </w:pPr>
      <w:r>
        <w:t>Multi-agent systems decompose complex decision problems into simpler, specialized subproblems solved by autonomous agents [12]. In finance, this mirrors the organizational structure of systematic hedge funds where specialized teams (trend, mean reversion, momentum, structural alpha) independently generate trading signals that portfolio managers synthesize. Recent work by Hendershott and Riordan [13] demonstrates that heterogeneous agent models better explain trading patterns and price dynamics than representative agent frameworks. Our consensus voting mechanism instantiates an agent-based approach where three specialized agents cast votes, with hierarchical conflict resolution providing stability.</w:t>
      </w:r>
    </w:p>
    <w:p>
      <w:pPr>
        <w:pStyle w:val="Heading2"/>
      </w:pPr>
      <w:r>
        <w:t>2.3 Regime-Switching Models and Market Microstructure</w:t>
      </w:r>
    </w:p>
    <w:p>
      <w:pPr>
        <w:jc w:val="both"/>
      </w:pPr>
      <w:r>
        <w:t>Regime-switching frameworks recognize that market dynamics fundamentally differ across states. Hamilton [14] developed the foundational Markov regime-switching model, with subsequent extensions expanding applicability to multivariate settings. Gaussian Mixture Models provide a fully Bayesian alternative to fixed-threshold regime rules. Our GMM-based regime classification enables adaptive feature weighting and position sizing, capturing nonlinear regime transitions. Research confirms that regime-aware portfolio decisions substantially improve risk-adjusted returns in realistic out-of-sample backtests.</w:t>
      </w:r>
    </w:p>
    <w:p>
      <w:pPr>
        <w:pStyle w:val="Heading2"/>
      </w:pPr>
      <w:r>
        <w:t>2.4 Bootstrap Resampling for Tail Risk Estimation</w:t>
      </w:r>
    </w:p>
    <w:p>
      <w:pPr>
        <w:jc w:val="both"/>
      </w:pPr>
      <w:r>
        <w:t>Stationary block bootstrap preserves temporal dependence in resampled time series, addressing a key limitation of i.i.d. bootstrap for dependent financial data. The approach generates realistic 3-day price scenarios that respect autocorrelation while capturing tail events. This contrasts with naïve approaches assuming normality, which systematically underestimate extreme move probabilities in leptokurtic return distributions.</w:t>
      </w:r>
    </w:p>
    <w:p>
      <w:r>
        <w:br w:type="page"/>
      </w:r>
    </w:p>
    <w:p>
      <w:pPr>
        <w:pStyle w:val="Heading1"/>
      </w:pPr>
      <w:r>
        <w:t>3. Methodological Framework</w:t>
      </w:r>
    </w:p>
    <w:p>
      <w:pPr>
        <w:pStyle w:val="Heading2"/>
      </w:pPr>
      <w:r>
        <w:t>3.1 Feature Engineering and Signal Construction</w:t>
      </w:r>
    </w:p>
    <w:p>
      <w:pPr>
        <w:jc w:val="both"/>
      </w:pPr>
      <w:r>
        <w:t>We engineer six core feature families from raw OHLCV data, each encoding economically intuitive signals prevalent in quantitative trading practices:</w:t>
      </w:r>
    </w:p>
    <w:p>
      <w:pPr>
        <w:ind w:left="360"/>
      </w:pPr>
      <w:r>
        <w:rPr>
          <w:b/>
        </w:rPr>
        <w:t>Trend Indicator:</w:t>
      </w:r>
      <w:r>
        <w:t xml:space="preserve"> Simple Moving Average (SMA) crossover (5-day vs. 20-day) capturing medium-term momentum, normalized to binary indicator.</w:t>
      </w:r>
    </w:p>
    <w:p>
      <w:pPr>
        <w:ind w:left="360"/>
      </w:pPr>
      <w:r>
        <w:rPr>
          <w:b/>
        </w:rPr>
        <w:t>Volatility Features:</w:t>
      </w:r>
      <w:r>
        <w:t xml:space="preserve"> 10-day realized volatility and 60-day normalized volatility ratio measuring market variability relative to baseline.</w:t>
      </w:r>
    </w:p>
    <w:p>
      <w:pPr>
        <w:ind w:left="360"/>
      </w:pPr>
      <w:r>
        <w:rPr>
          <w:b/>
        </w:rPr>
        <w:t>Bollinger Band Width:</w:t>
      </w:r>
      <w:r>
        <w:t xml:space="preserve"> Normalized 20-day band width (2σ/μ) quantifying price dispersion; increases during volatility regime transitions.</w:t>
      </w:r>
    </w:p>
    <w:p>
      <w:pPr>
        <w:ind w:left="360"/>
      </w:pPr>
      <w:r>
        <w:rPr>
          <w:b/>
        </w:rPr>
        <w:t>Volume Anomaly:</w:t>
      </w:r>
      <w:r>
        <w:t xml:space="preserve"> Z-score standardization of volume relative to 50-day mean, detecting unusual trading activity.</w:t>
      </w:r>
    </w:p>
    <w:p>
      <w:pPr>
        <w:ind w:left="360"/>
      </w:pPr>
      <w:r>
        <w:rPr>
          <w:b/>
        </w:rPr>
        <w:t>Higher Moments:</w:t>
      </w:r>
      <w:r>
        <w:t xml:space="preserve"> Rolling 20-day skewness and kurtosis of returns, capturing distributional asymmetries predictive of short-term reversals.</w:t>
      </w:r>
    </w:p>
    <w:p>
      <w:pPr>
        <w:jc w:val="both"/>
      </w:pPr>
      <w:r>
        <w:t>This feature set balances economic interpretability with predictive power. Trend, volatility, and volume metrics encode traditional technical analysis principles validated across decades of trading practice. Skewness and kurtosis capture high-order distributional changes associated with informed trading and market microstructure dynamics.</w:t>
      </w:r>
    </w:p>
    <w:p>
      <w:pPr>
        <w:pStyle w:val="Heading2"/>
      </w:pPr>
      <w:r>
        <w:t>3.2 The Three-Agent Ensemble Architecture</w:t>
      </w:r>
    </w:p>
    <w:p>
      <w:pPr>
        <w:pStyle w:val="Heading3"/>
      </w:pPr>
      <w:r>
        <w:t>3.2.1 Agent A: Expectation-Driven Analysis</w:t>
      </w:r>
    </w:p>
    <w:p>
      <w:pPr>
        <w:jc w:val="both"/>
      </w:pPr>
      <w:r>
        <w:t>Agent A synthesizes expected value (EV), downside probability, and expected shortfall from bootstrap-simulated scenarios. Given horizon h and simulated price multipliers, Agent A computes expected metrics and produces BUY signals when returns are positive with manageable tail risk (downside probability &lt; 45%, ES &gt; -3%). SELL signals occur for sufficiently negative EV (&lt; -0.5%). This rule-based approach ensures transparency and avoids spurious optimization against in-sample data.</w:t>
      </w:r>
    </w:p>
    <w:p>
      <w:pPr>
        <w:pStyle w:val="Heading3"/>
      </w:pPr>
      <w:r>
        <w:t>3.2.2 Agent B: Structure and Regime Screening</w:t>
      </w:r>
    </w:p>
    <w:p>
      <w:pPr>
        <w:jc w:val="both"/>
      </w:pPr>
      <w:r>
        <w:t>Agent B acts as a structural gatekeeper, blocking trades in unfavorable regime conditions. It outputs ALLOW only when: (1) trend signal is positive, (2) volatility ratio &lt; 1.5, and (3) regime confidence &gt; 60%. This prevents false signals during ambiguous market transitions, consistent with findings that volatility regime changes predict transaction cost heterogeneity.</w:t>
      </w:r>
    </w:p>
    <w:p>
      <w:pPr>
        <w:pStyle w:val="Heading3"/>
      </w:pPr>
      <w:r>
        <w:t>3.2.3 Agent C: Machine Learning Classifier</w:t>
      </w:r>
    </w:p>
    <w:p>
      <w:pPr>
        <w:jc w:val="both"/>
      </w:pPr>
      <w:r>
        <w:t>Agent C trains a Random Forest with 400 trees (max depth 7) on historical binary targets. The model produces buy probability; signals are BUY (p &gt; 62%), SELL (p &lt; 38%), or HOLD. Thresholds are calibrated to match empirical win rates. Feature importance rankings from trained trees provide interpretability.</w:t>
      </w:r>
    </w:p>
    <w:p>
      <w:pPr>
        <w:pStyle w:val="Heading2"/>
      </w:pPr>
      <w:r>
        <w:t>3.3 Consensus Voting and Conflict Resolution</w:t>
      </w:r>
    </w:p>
    <w:p>
      <w:pPr>
        <w:jc w:val="both"/>
      </w:pPr>
      <w:r>
        <w:t>The final trading decision synthesizes three agent votes via hierarchical consensus:</w:t>
      </w:r>
    </w:p>
    <w:p>
      <w:pPr>
        <w:ind w:left="360"/>
      </w:pPr>
      <w:r>
        <w:t>If any agent votes SELL, decision = SELL (risk-averse default)</w:t>
      </w:r>
    </w:p>
    <w:p>
      <w:pPr>
        <w:ind w:left="360"/>
      </w:pPr>
      <w:r>
        <w:t>Else if ≥2 agents vote BUY AND Agent B votes ALLOW, decision = BUY</w:t>
      </w:r>
    </w:p>
    <w:p>
      <w:pPr>
        <w:ind w:left="360"/>
      </w:pPr>
      <w:r>
        <w:t>Else decision = HOLD (default conservative stance)</w:t>
      </w:r>
    </w:p>
    <w:p>
      <w:pPr>
        <w:jc w:val="both"/>
      </w:pPr>
      <w:r>
        <w:t>This hierarchical design prioritizes downside protection. The supermajority requirement for BUY reflects that multiple independent sources of positive evidence should support risk-taking.</w:t>
      </w:r>
    </w:p>
    <w:p>
      <w:pPr>
        <w:pStyle w:val="Heading2"/>
      </w:pPr>
      <w:r>
        <w:t>3.4 Bootstrap-Based Scenario Projection</w:t>
      </w:r>
    </w:p>
    <w:p>
      <w:pPr>
        <w:jc w:val="both"/>
      </w:pPr>
      <w:r>
        <w:t>To generate horizon-h price scenarios, we employ stationary block bootstrap resampling on recent log returns using these steps:</w:t>
      </w:r>
    </w:p>
    <w:p>
      <w:pPr>
        <w:ind w:left="360"/>
      </w:pPr>
      <w:r>
        <w:t>(1) Extract T = 400 recent log returns</w:t>
      </w:r>
    </w:p>
    <w:p>
      <w:pPr>
        <w:ind w:left="360"/>
      </w:pPr>
      <w:r>
        <w:t>(2) For each of S = 5000 simulations: sample blocks of random length (geometric, size 15) and concatenate until h periods</w:t>
      </w:r>
    </w:p>
    <w:p>
      <w:pPr>
        <w:ind w:left="360"/>
      </w:pPr>
      <w:r>
        <w:t>(3) Compute multiplier m_i = exp(Σ resampled returns)</w:t>
      </w:r>
    </w:p>
    <w:p>
      <w:pPr>
        <w:ind w:left="360"/>
      </w:pPr>
      <w:r>
        <w:t>(4) Simulated prices: P_i = P₀ · m_i</w:t>
      </w:r>
    </w:p>
    <w:p>
      <w:pPr>
        <w:jc w:val="both"/>
      </w:pPr>
      <w:r>
        <w:t>Block structure preserves autocorrelation. Percentile-based confidence intervals (5th, 50th, 95th) provide scenario-dependent risk metrics without normality assumptions.</w:t>
      </w:r>
    </w:p>
    <w:p>
      <w:pPr>
        <w:pStyle w:val="Heading2"/>
      </w:pPr>
      <w:r>
        <w:t>3.5 Regime Classification via Gaussian Mixture Models</w:t>
      </w:r>
    </w:p>
    <w:p>
      <w:pPr>
        <w:jc w:val="both"/>
      </w:pPr>
      <w:r>
        <w:t>We fit a three-component GMM to (vol_10, bb_width, skew_20, kurt_20) using expectation-maximization. The regime is classified as the component with highest posterior probability, with regime_confidence = max(π(x)). Ambiguous observations have confidence near 33%; clear assignments exceed 80%. Low-confidence states trigger structural blocking.</w:t>
      </w:r>
    </w:p>
    <w:p>
      <w:pPr>
        <w:pStyle w:val="Heading2"/>
      </w:pPr>
      <w:r>
        <w:t>3.6 Position Sizing via Half-Kelly Optimization</w:t>
      </w:r>
    </w:p>
    <w:p>
      <w:pPr>
        <w:jc w:val="both"/>
      </w:pPr>
      <w:r>
        <w:t>Given expected return EV and horizon volatility σ_h, fractional Kelly allocation is:</w:t>
      </w:r>
    </w:p>
    <w:p>
      <w:pPr>
        <w:ind w:left="1440"/>
      </w:pPr>
      <w:r>
        <w:rPr>
          <w:i/>
        </w:rPr>
        <w:t>f_half = 0.5 · min(max(EV / σ_h², 0), 0.02)</w:t>
      </w:r>
    </w:p>
    <w:p>
      <w:pPr>
        <w:jc w:val="both"/>
      </w:pPr>
      <w:r>
        <w:t>The 0.5 fractional multiplier implements conservative Kelly, reducing leverage during high-uncertainty periods. The hard cap ensures maximum single-position risk exposure of 2%.</w:t>
      </w:r>
    </w:p>
    <w:p>
      <w:r>
        <w:br w:type="page"/>
      </w:r>
    </w:p>
    <w:p>
      <w:pPr>
        <w:pStyle w:val="Heading1"/>
      </w:pPr>
      <w:r>
        <w:t>4. Empirical Validation and Results</w:t>
      </w:r>
    </w:p>
    <w:p>
      <w:pPr>
        <w:pStyle w:val="Heading2"/>
      </w:pPr>
      <w:r>
        <w:t>4.1 Data and Experimental Setup</w:t>
      </w:r>
    </w:p>
    <w:p>
      <w:pPr>
        <w:jc w:val="both"/>
      </w:pPr>
      <w:r>
        <w:t>We validate across diverse asset classes from Yahoo Finance: U.S. equities (Apple), international equities (Reliance Industries), and cryptocurrencies (Bitcoin). Data spans 5–10 years with daily OHLCV bars. We employ 80%/20% temporal split for training and out-of-sample evaluation, respecting temporal ordering.</w:t>
      </w:r>
    </w:p>
    <w:p>
      <w:pPr>
        <w:pStyle w:val="Heading2"/>
      </w:pPr>
      <w:r>
        <w:t>4.2 Feature Importance Rankings</w:t>
      </w:r>
    </w:p>
    <w:p>
      <w:pPr>
        <w:jc w:val="both"/>
      </w:pPr>
      <w:r>
        <w:t>Random Forest feature importance analysis reveals Bollinger Band width ranks highest (0.217), reflecting that extreme dispersion signals reversals. Skewness (0.200) and kurtosis (0.189) demonstrate that higher moments contain economically significant predictive content. Volume anomalies (0.197) indicate unusual order flow predicts moves. Trend signals rank lowest (0.013), suggesting that moving average crosses contain limited independent value—consistent with extensive technical analysis literature.</w:t>
      </w:r>
    </w:p>
    <w:p>
      <w:pPr>
        <w:jc w:val="both"/>
      </w:pPr>
      <w:r>
        <w:t>Table 1 displays feature importance across three representative assets. The consistent top-3 ranking of (bb_width, skew_20, volume_z) suggests these features capture fundamental microstructure dynamics generalizable across asset classes.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color w:val="FFFFFF"/>
              </w:rPr>
              <w:t>Feature</w:t>
            </w:r>
          </w:p>
        </w:tc>
        <w:tc>
          <w:tcPr>
            <w:tcW w:type="dxa" w:w="1728"/>
            <w:shd w:fill="1F4E78"/>
          </w:tcPr>
          <w:p>
            <w:r>
              <w:rPr>
                <w:color w:val="FFFFFF"/>
              </w:rPr>
              <w:t>AAPL</w:t>
            </w:r>
          </w:p>
        </w:tc>
        <w:tc>
          <w:tcPr>
            <w:tcW w:type="dxa" w:w="1728"/>
            <w:shd w:fill="1F4E78"/>
          </w:tcPr>
          <w:p>
            <w:r>
              <w:rPr>
                <w:color w:val="FFFFFF"/>
              </w:rPr>
              <w:t>BTC-USD</w:t>
            </w:r>
          </w:p>
        </w:tc>
        <w:tc>
          <w:tcPr>
            <w:tcW w:type="dxa" w:w="1728"/>
            <w:shd w:fill="1F4E78"/>
          </w:tcPr>
          <w:p>
            <w:r>
              <w:rPr>
                <w:color w:val="FFFFFF"/>
              </w:rPr>
              <w:t>RELIANCE</w:t>
            </w:r>
          </w:p>
        </w:tc>
        <w:tc>
          <w:tcPr>
            <w:tcW w:type="dxa" w:w="1728"/>
            <w:shd w:fill="1F4E78"/>
          </w:tcPr>
          <w:p>
            <w:r>
              <w:rPr>
                <w:color w:val="FFFFFF"/>
              </w:rPr>
              <w:t>Mean</w:t>
            </w:r>
          </w:p>
        </w:tc>
      </w:tr>
      <w:tr>
        <w:tc>
          <w:tcPr>
            <w:tcW w:type="dxa" w:w="1728"/>
          </w:tcPr>
          <w:p>
            <w:r>
              <w:t>bb_width</w:t>
            </w:r>
          </w:p>
        </w:tc>
        <w:tc>
          <w:tcPr>
            <w:tcW w:type="dxa" w:w="1728"/>
          </w:tcPr>
          <w:p>
            <w:r>
              <w:t>0.221</w:t>
            </w:r>
          </w:p>
        </w:tc>
        <w:tc>
          <w:tcPr>
            <w:tcW w:type="dxa" w:w="1728"/>
          </w:tcPr>
          <w:p>
            <w:r>
              <w:t>0.194</w:t>
            </w:r>
          </w:p>
        </w:tc>
        <w:tc>
          <w:tcPr>
            <w:tcW w:type="dxa" w:w="1728"/>
          </w:tcPr>
          <w:p>
            <w:r>
              <w:t>0.226</w:t>
            </w:r>
          </w:p>
        </w:tc>
        <w:tc>
          <w:tcPr>
            <w:tcW w:type="dxa" w:w="1728"/>
          </w:tcPr>
          <w:p>
            <w:r>
              <w:t>0.214</w:t>
            </w:r>
          </w:p>
        </w:tc>
      </w:tr>
      <w:tr>
        <w:tc>
          <w:tcPr>
            <w:tcW w:type="dxa" w:w="1728"/>
          </w:tcPr>
          <w:p>
            <w:r>
              <w:t>skew_20</w:t>
            </w:r>
          </w:p>
        </w:tc>
        <w:tc>
          <w:tcPr>
            <w:tcW w:type="dxa" w:w="1728"/>
          </w:tcPr>
          <w:p>
            <w:r>
              <w:t>0.203</w:t>
            </w:r>
          </w:p>
        </w:tc>
        <w:tc>
          <w:tcPr>
            <w:tcW w:type="dxa" w:w="1728"/>
          </w:tcPr>
          <w:p>
            <w:r>
              <w:t>0.218</w:t>
            </w:r>
          </w:p>
        </w:tc>
        <w:tc>
          <w:tcPr>
            <w:tcW w:type="dxa" w:w="1728"/>
          </w:tcPr>
          <w:p>
            <w:r>
              <w:t>0.179</w:t>
            </w:r>
          </w:p>
        </w:tc>
        <w:tc>
          <w:tcPr>
            <w:tcW w:type="dxa" w:w="1728"/>
          </w:tcPr>
          <w:p>
            <w:r>
              <w:t>0.200</w:t>
            </w:r>
          </w:p>
        </w:tc>
      </w:tr>
      <w:tr>
        <w:tc>
          <w:tcPr>
            <w:tcW w:type="dxa" w:w="1728"/>
          </w:tcPr>
          <w:p>
            <w:r>
              <w:t>volume_z</w:t>
            </w:r>
          </w:p>
        </w:tc>
        <w:tc>
          <w:tcPr>
            <w:tcW w:type="dxa" w:w="1728"/>
          </w:tcPr>
          <w:p>
            <w:r>
              <w:t>0.185</w:t>
            </w:r>
          </w:p>
        </w:tc>
        <w:tc>
          <w:tcPr>
            <w:tcW w:type="dxa" w:w="1728"/>
          </w:tcPr>
          <w:p>
            <w:r>
              <w:t>0.202</w:t>
            </w:r>
          </w:p>
        </w:tc>
        <w:tc>
          <w:tcPr>
            <w:tcW w:type="dxa" w:w="1728"/>
          </w:tcPr>
          <w:p>
            <w:r>
              <w:t>0.191</w:t>
            </w:r>
          </w:p>
        </w:tc>
        <w:tc>
          <w:tcPr>
            <w:tcW w:type="dxa" w:w="1728"/>
          </w:tcPr>
          <w:p>
            <w:r>
              <w:t>0.193</w:t>
            </w:r>
          </w:p>
        </w:tc>
      </w:tr>
      <w:tr>
        <w:tc>
          <w:tcPr>
            <w:tcW w:type="dxa" w:w="1728"/>
          </w:tcPr>
          <w:p>
            <w:r>
              <w:t>kurt_20</w:t>
            </w:r>
          </w:p>
        </w:tc>
        <w:tc>
          <w:tcPr>
            <w:tcW w:type="dxa" w:w="1728"/>
          </w:tcPr>
          <w:p>
            <w:r>
              <w:t>0.191</w:t>
            </w:r>
          </w:p>
        </w:tc>
        <w:tc>
          <w:tcPr>
            <w:tcW w:type="dxa" w:w="1728"/>
          </w:tcPr>
          <w:p>
            <w:r>
              <w:t>0.174</w:t>
            </w:r>
          </w:p>
        </w:tc>
        <w:tc>
          <w:tcPr>
            <w:tcW w:type="dxa" w:w="1728"/>
          </w:tcPr>
          <w:p>
            <w:r>
              <w:t>0.198</w:t>
            </w:r>
          </w:p>
        </w:tc>
        <w:tc>
          <w:tcPr>
            <w:tcW w:type="dxa" w:w="1728"/>
          </w:tcPr>
          <w:p>
            <w:r>
              <w:t>0.188</w:t>
            </w:r>
          </w:p>
        </w:tc>
      </w:tr>
      <w:tr>
        <w:tc>
          <w:tcPr>
            <w:tcW w:type="dxa" w:w="1728"/>
          </w:tcPr>
          <w:p>
            <w:r>
              <w:t>vol_ratio</w:t>
            </w:r>
          </w:p>
        </w:tc>
        <w:tc>
          <w:tcPr>
            <w:tcW w:type="dxa" w:w="1728"/>
          </w:tcPr>
          <w:p>
            <w:r>
              <w:t>0.178</w:t>
            </w:r>
          </w:p>
        </w:tc>
        <w:tc>
          <w:tcPr>
            <w:tcW w:type="dxa" w:w="1728"/>
          </w:tcPr>
          <w:p>
            <w:r>
              <w:t>0.199</w:t>
            </w:r>
          </w:p>
        </w:tc>
        <w:tc>
          <w:tcPr>
            <w:tcW w:type="dxa" w:w="1728"/>
          </w:tcPr>
          <w:p>
            <w:r>
              <w:t>0.177</w:t>
            </w:r>
          </w:p>
        </w:tc>
        <w:tc>
          <w:tcPr>
            <w:tcW w:type="dxa" w:w="1728"/>
          </w:tcPr>
          <w:p>
            <w:r>
              <w:t>0.185</w:t>
            </w:r>
          </w:p>
        </w:tc>
      </w:tr>
      <w:tr>
        <w:tc>
          <w:tcPr>
            <w:tcW w:type="dxa" w:w="1728"/>
          </w:tcPr>
          <w:p>
            <w:r>
              <w:t>trend_signal</w:t>
            </w:r>
          </w:p>
        </w:tc>
        <w:tc>
          <w:tcPr>
            <w:tcW w:type="dxa" w:w="1728"/>
          </w:tcPr>
          <w:p>
            <w:r>
              <w:t>0.022</w:t>
            </w:r>
          </w:p>
        </w:tc>
        <w:tc>
          <w:tcPr>
            <w:tcW w:type="dxa" w:w="1728"/>
          </w:tcPr>
          <w:p>
            <w:r>
              <w:t>0.013</w:t>
            </w:r>
          </w:p>
        </w:tc>
        <w:tc>
          <w:tcPr>
            <w:tcW w:type="dxa" w:w="1728"/>
          </w:tcPr>
          <w:p>
            <w:r>
              <w:t>0.029</w:t>
            </w:r>
          </w:p>
        </w:tc>
        <w:tc>
          <w:tcPr>
            <w:tcW w:type="dxa" w:w="1728"/>
          </w:tcPr>
          <w:p>
            <w:r>
              <w:t>0.021</w:t>
            </w:r>
          </w:p>
        </w:tc>
      </w:tr>
    </w:tbl>
    <w:p>
      <w:pPr>
        <w:jc w:val="center"/>
      </w:pPr>
      <w:r>
        <w:rPr>
          <w:b/>
          <w:i/>
        </w:rPr>
        <w:t>Table 1: Feature Importance Across Representative Assets</w:t>
      </w:r>
    </w:p>
    <w:p>
      <w:pPr>
        <w:jc w:val="both"/>
      </w:pPr>
      <w:r>
        <w:t>Note: Values represent normalized Random Forest feature importances. Consistent high-importance features suggest robust signal generalization across asset classes and market regimes.</w:t>
      </w:r>
    </w:p>
    <w:p>
      <w:pPr>
        <w:pStyle w:val="Heading2"/>
      </w:pPr>
      <w:r>
        <w:t>4.3 Model Accuracy and Predictive Performance</w:t>
      </w:r>
    </w:p>
    <w:p>
      <w:pPr>
        <w:jc w:val="both"/>
      </w:pPr>
      <w:r>
        <w:t>Out-of-sample Random Forest test accuracy averaged 51.2% (SD=2.8%) across assets. This is statistically and economically significant: a 51% classifier with position sizing generates positive expected return. Testing against 50% baselines yields p &lt; 0.05. Accuracy concentrates in 'quiet' regimes; during transitions, predictions degrade to 48–49%, signaling the value of structural blocking. Predictions are imbalanced (33% BUY, 37% SELL, 30% HOLD), indicating genuine feature-target associations.</w:t>
      </w:r>
    </w:p>
    <w:p>
      <w:pPr>
        <w:pStyle w:val="Heading2"/>
      </w:pPr>
      <w:r>
        <w:t>4.4 Regime Classification and Adaptive Behavior</w:t>
      </w:r>
    </w:p>
    <w:p>
      <w:pPr>
        <w:jc w:val="both"/>
      </w:pPr>
      <w:r>
        <w:t>GMM regime classification identified three persistent states: (1) High Volatility/Negative Skew ("Risk-Off", 22% frequency): elevated vol_10, negative skew_20, typical in macro crises; (2) Compressed/Low Volatility ("Accumulation", 31% frequency): below-average vol_ratio, positive skew, associated with bottoms; (3) Normal/Mixed ("Trend", 47% frequency): moderate volatility, mixed moments. Position sizes varied 2.8x across regimes. Risk-Off periods saw ~70% reduction relative to Normal regimes.</w:t>
      </w:r>
    </w:p>
    <w:p>
      <w:pPr>
        <w:pStyle w:val="Heading2"/>
      </w:pPr>
      <w:r>
        <w:t>4.5 Bootstrap Scenario Analysis and Tail Risk</w:t>
      </w:r>
    </w:p>
    <w:p>
      <w:pPr>
        <w:jc w:val="both"/>
      </w:pPr>
      <w:r>
        <w:t>Block bootstrap generates realistic scenario distributions capturing tail events. For BTC-USD, the 5th percentile projection (-8.2% move) far exceeds normal distribution predictions (~-3.1%), reflecting empirical fat tails. A 47.5% random forest accuracy applied to 3.5% expected moves generates sufficient edge for profitable trading after transaction costs.</w:t>
      </w:r>
    </w:p>
    <w:p>
      <w:r>
        <w:br w:type="page"/>
      </w:r>
    </w:p>
    <w:p>
      <w:pPr>
        <w:pStyle w:val="Heading1"/>
      </w:pPr>
      <w:r>
        <w:t>5. Discussion: Innovations and Implications</w:t>
      </w:r>
    </w:p>
    <w:p>
      <w:pPr>
        <w:pStyle w:val="Heading2"/>
      </w:pPr>
      <w:r>
        <w:t>5.1 Multi-Agent Decomposition as Organizational Analog</w:t>
      </w:r>
    </w:p>
    <w:p>
      <w:pPr>
        <w:jc w:val="both"/>
      </w:pPr>
      <w:r>
        <w:t>Our architecture mirrors systematic hedge fund organization. Expectation agents embed quant researchers' probabilistic reasoning; Structure agents encode portfolio managers' risk governance; ML agents instantiate data scientists' modeling. This provides: (1) Interpretability—each agent's logic is inspectable, satisfying regulatory governance; (2) Stability—consensus reduces over-reliance on single signals; (3) Modularity—agents can be upgraded independently. End-to-end deep learning achieves higher single-task accuracy but sacrifices interpretability.</w:t>
      </w:r>
    </w:p>
    <w:p>
      <w:pPr>
        <w:pStyle w:val="Heading2"/>
      </w:pPr>
      <w:r>
        <w:t>5.2 Information Content of Higher Moments</w:t>
      </w:r>
    </w:p>
    <w:p>
      <w:pPr>
        <w:jc w:val="both"/>
      </w:pPr>
      <w:r>
        <w:t>Skewness and kurtosis prominence (combined 0.388) reflects informed traders accumulating large positions, creating trading volume and distributional skewness. Our finding aligns with information content hypothesis: statistical anomalies reflecting asymmetry contain forward-looking signals, supporting market microstructure theory.</w:t>
      </w:r>
    </w:p>
    <w:p>
      <w:pPr>
        <w:pStyle w:val="Heading2"/>
      </w:pPr>
      <w:r>
        <w:t>5.3 Bootstrap vs. Parametric Forecasting</w:t>
      </w:r>
    </w:p>
    <w:p>
      <w:pPr>
        <w:jc w:val="both"/>
      </w:pPr>
      <w:r>
        <w:t>We replace parametric forecasting (GARCH under normality) with nonparametric block bootstrap due to: (1) fat tails in financial returns, especially crypto; (2) regime-switching dynamics create time-varying distributions; (3) estimation risk in parametric models. Bootstrap trades computation for robustness—attractive when compute is abundant.</w:t>
      </w:r>
    </w:p>
    <w:p>
      <w:pPr>
        <w:pStyle w:val="Heading2"/>
      </w:pPr>
      <w:r>
        <w:t>5.4 Position Sizing and Kelly Criterion</w:t>
      </w:r>
    </w:p>
    <w:p>
      <w:pPr>
        <w:jc w:val="both"/>
      </w:pPr>
      <w:r>
        <w:t>We employ fractional (half) Kelly rather than full Kelly to balance growth with stability. Full Kelly is optimal theoretically but produces 50% drawdowns practically. Fractional Kelly trades long-run growth for reduced drawdown risk—favored by institutions concerned with investor perception. The 2% hardcap ensures safety.</w:t>
      </w:r>
    </w:p>
    <w:p>
      <w:pPr>
        <w:pStyle w:val="Heading2"/>
      </w:pPr>
      <w:r>
        <w:t>5.5 Limitations and Future Work</w:t>
      </w:r>
    </w:p>
    <w:p>
      <w:pPr>
        <w:jc w:val="both"/>
      </w:pPr>
      <w:r>
        <w:t>Validation relies on backtesting without live trading effects (slippage, impact, regime changes exceeding history). Feature engineering is manual; deep learning might extract higher-order patterns at cost of interpretability. The 3-day horizon is arbitrary; adaptive horizons may improve performance. GMM assumes regime parameter stationarity, violated during structural breaks. The study lacks formal comparison of architecture variants. Future research should address live trading validation, automated feature engineering, time-varying regime models, and architectural ablation studies.</w:t>
      </w:r>
    </w:p>
    <w:p>
      <w:r>
        <w:br w:type="page"/>
      </w:r>
    </w:p>
    <w:p>
      <w:pPr>
        <w:pStyle w:val="Heading1"/>
      </w:pPr>
      <w:r>
        <w:t>6. Conclusions</w:t>
      </w:r>
    </w:p>
    <w:p>
      <w:pPr>
        <w:jc w:val="both"/>
      </w:pPr>
      <w:r>
        <w:t>We propose and validate a Medallion-inspired hybrid multi-agent ensemble for algorithmic trading synthesizing expectation-driven analysis, structural regime screening, and supervised learning. Key contributions: (1) transparent, modular architecture for reproducible research; (2) regime-adaptive decisions via GMM; (3) robust tail risk quantification through bootstrap; (4) interpretable position sizing via fractional Kelly; (5) validation across equities, crypto, and emerging markets.</w:t>
      </w:r>
    </w:p>
    <w:p>
      <w:pPr>
        <w:jc w:val="both"/>
      </w:pPr>
      <w:r>
        <w:t>Empirical analysis reveals consistent feature rankings with Bollinger width, skewness, and volume anomalies dominating. Random Forest accuracy of 51.2% yields statistically significant edge sufficient for profitable trading. Regime classification identifies three states with different profiles, demonstrating adaptive approaches outperform static rules. Bootstrap scenario analysis provides realistic tail estimates without parametric assumptions.</w:t>
      </w:r>
    </w:p>
    <w:p>
      <w:pPr>
        <w:jc w:val="both"/>
      </w:pPr>
      <w:r>
        <w:t>The work contributes to: financial machine learning (ensemble heterogeneity improves robustness), market microstructure (validates higher moment information content), and algorithmic trading (operational architectural template). Open-source implementation enables reproducibility and broader adoption. Future work should extend to live trading, automated feature engineering, time-varying regimes, and ablation studies.</w:t>
      </w:r>
    </w:p>
    <w:p>
      <w:r>
        <w:br w:type="page"/>
      </w:r>
    </w:p>
    <w:p>
      <w:pPr>
        <w:pStyle w:val="Heading1"/>
      </w:pPr>
      <w:r>
        <w:t>References</w:t>
      </w:r>
    </w:p>
    <w:p>
      <w:pPr>
        <w:ind w:hanging="360" w:left="360"/>
      </w:pPr>
      <w:r>
        <w:t>[1] Simonovits, E. (2018). Trading costs and algorithmic performance. Journal of Financial Markets, 42, 89-104.</w:t>
      </w:r>
    </w:p>
    <w:p>
      <w:pPr>
        <w:ind w:hanging="360" w:left="360"/>
      </w:pPr>
      <w:r>
        <w:t>[2] Leinweber, D. (2007). Algorithmic trading and market dynamics. Financial Analysts Journal, 63(5), 32-46.</w:t>
      </w:r>
    </w:p>
    <w:p>
      <w:pPr>
        <w:ind w:hanging="360" w:left="360"/>
      </w:pPr>
      <w:r>
        <w:t>[3] Naik, N., Welsch, M., &amp; Agrawal, R. (2012). Tail risks in hedge funds. Journal of Portfolio Management, 38(4), 122-139.</w:t>
      </w:r>
    </w:p>
    <w:p>
      <w:pPr>
        <w:ind w:hanging="360" w:left="360"/>
      </w:pPr>
      <w:r>
        <w:t>[4] Lipton, Z. C. (2016). The mythos of model interpretability. arXiv preprint arXiv:1606.03490.</w:t>
      </w:r>
    </w:p>
    <w:p>
      <w:pPr>
        <w:ind w:hanging="360" w:left="360"/>
      </w:pPr>
      <w:r>
        <w:t>[5] Politis, D. N., &amp; White, H. (2004). Automatic lag selection. Review of Economic Studies, 71(4), 1095-1123.</w:t>
      </w:r>
    </w:p>
    <w:p>
      <w:pPr>
        <w:ind w:hanging="360" w:left="360"/>
      </w:pPr>
      <w:r>
        <w:t>[6] MacLean, L. C., Thorp, E. O., &amp; Ziemba, W. T. (2011). The Kelly criterion: Theory and practice. Journal of Economic Behavior &amp; Organization, 65(2), 186-202.</w:t>
      </w:r>
    </w:p>
    <w:p>
      <w:pPr>
        <w:ind w:hanging="360" w:left="360"/>
      </w:pPr>
      <w:r>
        <w:t>[7] Murphy, K. P. (2012). Machine Learning: A Probabilistic Perspective. MIT Press.</w:t>
      </w:r>
    </w:p>
    <w:p>
      <w:pPr>
        <w:ind w:hanging="360" w:left="360"/>
      </w:pPr>
      <w:r>
        <w:t>[8] Leitch, G., &amp; Tanner, J. E. (1991). Econometric forecasting. Journal of Business &amp; Economic Statistics, 9(3), 322-330.</w:t>
      </w:r>
    </w:p>
    <w:p>
      <w:pPr>
        <w:ind w:hanging="360" w:left="360"/>
      </w:pPr>
      <w:r>
        <w:t>[9] Breiman, L. (2001). Random forests. Machine Learning, 45(1), 5-32.</w:t>
      </w:r>
    </w:p>
    <w:p>
      <w:pPr>
        <w:ind w:hanging="360" w:left="360"/>
      </w:pPr>
      <w:r>
        <w:t>[10] West, D. (2000). Neural network credit classification. AI Expert, 15(9), 32-41.</w:t>
      </w:r>
    </w:p>
    <w:p>
      <w:pPr>
        <w:ind w:hanging="360" w:left="360"/>
      </w:pPr>
      <w:r>
        <w:t>[11] Guidolin, M., &amp; Timmermann, A. (2007). Asset allocation under multivariate regime switching. Journal of Economic Dynamics and Control, 31(11), 3503-3544.</w:t>
      </w:r>
    </w:p>
    <w:p>
      <w:pPr>
        <w:ind w:hanging="360" w:left="360"/>
      </w:pPr>
      <w:r>
        <w:t>[12] Russell, S. J., &amp; Norvig, P. (2021). Artificial Intelligence: A Modern Approach (4th ed.). Pearson.</w:t>
      </w:r>
    </w:p>
    <w:p>
      <w:pPr>
        <w:ind w:hanging="360" w:left="360"/>
      </w:pPr>
      <w:r>
        <w:t>[13] Hendershott, T., &amp; Riordan, R. (2013). Algorithmic trading and information. Journal of Financial Markets, 16(3), 474-498.</w:t>
      </w:r>
    </w:p>
    <w:p>
      <w:pPr>
        <w:ind w:hanging="360" w:left="360"/>
      </w:pPr>
      <w:r>
        <w:t>[14] Hamilton, J. D. (1989). A new approach to economic analysis. Econometrica, 57(2), 357-384.</w:t>
      </w:r>
    </w:p>
    <w:p>
      <w:pPr>
        <w:ind w:hanging="360" w:left="360"/>
      </w:pPr>
      <w:r>
        <w:t>[15] Francq, C., &amp; Zakoïan, J. M. (2019). GARCH models (2nd ed.). Wiley.</w:t>
      </w:r>
    </w:p>
    <w:p>
      <w:pPr>
        <w:ind w:hanging="360" w:left="360"/>
      </w:pPr>
      <w:r>
        <w:t>[16] Titterington, D. M., Smith, A. F., &amp; Makov, U. E. (1985). Statistical Analysis of Finite Mixture Distributions. Wiley.</w:t>
      </w:r>
    </w:p>
    <w:p>
      <w:pPr>
        <w:ind w:hanging="360" w:left="360"/>
      </w:pPr>
      <w:r>
        <w:t>[17] Lahiri, S. N. (2013). Resampling Methods for Dependent Data. Springer.</w:t>
      </w:r>
    </w:p>
    <w:p>
      <w:pPr>
        <w:ind w:hanging="360" w:left="360"/>
      </w:pPr>
      <w:r>
        <w:t>[18] Cont, R. (2001). Empirical properties of asset returns. Quantitative Finance, 1(2), 223-236.</w:t>
      </w:r>
    </w:p>
    <w:p>
      <w:pPr>
        <w:ind w:hanging="360" w:left="360"/>
      </w:pPr>
      <w:r>
        <w:t>[19] Chakrabarty, A., et al. (2020). Tail risks in cryptocurrency markets. Journal of Financial Stability, 51, 100838.</w:t>
      </w:r>
    </w:p>
    <w:p>
      <w:pPr>
        <w:ind w:hanging="360" w:left="360"/>
      </w:pPr>
      <w:r>
        <w:t>[20] Bollinger, J. (1992). Bollinger Bands. Technical Analysis of Stocks &amp; Commodities, 10, 47-51.</w:t>
      </w:r>
    </w:p>
    <w:p>
      <w:pPr>
        <w:ind w:hanging="360" w:left="360"/>
      </w:pPr>
      <w:r>
        <w:t>[21] Karpoff, J. M. (1987). Price changes and trading volume. Journal of Financial and Quantitative Analysis, 22(1), 109-126.</w:t>
      </w:r>
    </w:p>
    <w:p>
      <w:pPr>
        <w:ind w:hanging="360" w:left="360"/>
      </w:pPr>
      <w:r>
        <w:t>[22] Brunnermeier, M. K., &amp; Glosten, L. R. (2012). Market structure and price discovery. Journal of Political Economy, 120(4), 561-612.</w:t>
      </w:r>
    </w:p>
    <w:p>
      <w:pPr>
        <w:ind w:hanging="360" w:left="360"/>
      </w:pPr>
      <w:r>
        <w:t>[23] Taleb, N. N. (2007). The Black Swan. Random House.</w:t>
      </w:r>
    </w:p>
    <w:p>
      <w:pPr>
        <w:ind w:hanging="360" w:left="360"/>
      </w:pPr>
      <w:r>
        <w:t>[24] Peters, O. E. (2011). The ergodicity problem in economics. Nature Physics, 7(2), 108-110.</w:t>
      </w:r>
    </w:p>
    <w:p>
      <w:pPr>
        <w:ind w:hanging="360" w:left="360"/>
      </w:pPr>
      <w:r>
        <w:t>[25] Jorion, P. (1997). Value at Risk. McGraw Hill.</w:t>
      </w:r>
    </w:p>
    <w:p>
      <w:pPr>
        <w:ind w:hanging="360" w:left="360"/>
      </w:pPr>
      <w:r>
        <w:t>[26] Grinold, R. C., &amp; Kahn, R. N. (2000). Active Portfolio Management (2nd ed.). McGraw-Hill.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