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8.png" ContentType="image/png"/>
  <Override PartName="/word/media/rId30.png" ContentType="image/png"/>
  <Override PartName="/word/media/rId35.png" ContentType="image/png"/>
  <Override PartName="/word/media/rId40.png" ContentType="image/png"/>
  <Override PartName="/word/media/rId45.png" ContentType="image/png"/>
  <Override PartName="/word/media/rId154.png" ContentType="image/png"/>
  <Override PartName="/word/media/rId159.png" ContentType="image/png"/>
  <Override PartName="/word/media/rId164.png" ContentType="image/png"/>
  <Override PartName="/word/media/rId169.png" ContentType="image/png"/>
  <Override PartName="/word/media/rId1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TBD</w:t>
      </w:r>
    </w:p>
    <w:p>
      <w:pPr>
        <w:pStyle w:val="Author"/>
      </w:pPr>
      <w:r>
        <w:t xml:space="preserve">Alan T. Hitch</w:t>
      </w:r>
    </w:p>
    <w:p>
      <w:pPr>
        <w:pStyle w:val="Author"/>
      </w:pPr>
      <w:r>
        <w:t xml:space="preserve">Lauren Dusek</w:t>
      </w:r>
    </w:p>
    <w:p>
      <w:pPr>
        <w:pStyle w:val="Author"/>
      </w:pPr>
      <w:r>
        <w:t xml:space="preserve">Christine Champe</w:t>
      </w:r>
    </w:p>
    <w:bookmarkStart w:id="9" w:name="title-options-for-co-author-review"/>
    <w:p>
      <w:pPr>
        <w:pStyle w:val="Heading1"/>
      </w:pPr>
      <w:r>
        <w:t xml:space="preserve">Title options for co-author review</w:t>
      </w:r>
    </w:p>
    <w:p>
      <w:pPr>
        <w:pStyle w:val="FirstParagraph"/>
      </w:pPr>
      <w:r>
        <w:rPr>
          <w:b/>
          <w:bCs/>
        </w:rPr>
        <w:t xml:space="preserve">Option 1</w:t>
      </w:r>
    </w:p>
    <w:p>
      <w:pPr>
        <w:pStyle w:val="BodyText"/>
      </w:pPr>
      <w:r>
        <w:t xml:space="preserve">Seasonal and environmental variation in Sierra Nevada bat activity reveals frequency-dependent sensitivity to humidity</w:t>
      </w:r>
    </w:p>
    <w:p>
      <w:pPr>
        <w:pStyle w:val="BodyText"/>
      </w:pPr>
      <w:r>
        <w:rPr>
          <w:b/>
          <w:bCs/>
        </w:rPr>
        <w:t xml:space="preserve">Option 2</w:t>
      </w:r>
    </w:p>
    <w:p>
      <w:pPr>
        <w:pStyle w:val="BodyText"/>
      </w:pPr>
      <w:r>
        <w:t xml:space="preserve">Atmospheric attenuation predicts frequency-dependent humidity sensitivity in a temperate bat community</w:t>
      </w:r>
    </w:p>
    <w:p>
      <w:pPr>
        <w:pStyle w:val="BodyText"/>
      </w:pPr>
      <w:r>
        <w:rPr>
          <w:b/>
          <w:bCs/>
        </w:rPr>
        <w:t xml:space="preserve">Option 3</w:t>
      </w:r>
    </w:p>
    <w:p>
      <w:pPr>
        <w:pStyle w:val="BodyText"/>
      </w:pPr>
      <w:r>
        <w:t xml:space="preserve">Echolocation frequency predicts humidity sensitivity in a temperate bat community</w:t>
      </w:r>
    </w:p>
    <w:p>
      <w:r>
        <w:pict>
          <v:rect style="width:0;height:1.5pt" o:hralign="center" o:hrstd="t" o:hr="t"/>
        </w:pict>
      </w:r>
    </w:p>
    <w:bookmarkEnd w:id="9"/>
    <w:bookmarkStart w:id="10" w:name="abstract"/>
    <w:p>
      <w:pPr>
        <w:pStyle w:val="Heading1"/>
      </w:pPr>
      <w:r>
        <w:t xml:space="preserve">Abstract</w:t>
      </w:r>
    </w:p>
    <w:p>
      <w:pPr>
        <w:pStyle w:val="FirstParagraph"/>
      </w:pPr>
      <w:r>
        <w:t xml:space="preserve">Bat activity reflects seasonal phenology and nightly environmental conditions that frequently covary, making their contributions difficult to distinguish from marginal associations alone. We investigated these relationships at eight sites spanning 581–1,846 m elevation in the northern Sierra Nevada of California from April to October 2015. After excluding site-nights without usable acoustic recordings, the analytical dataset contained 1,056 site-nights and 17 bat species. We fitted Bayesian negative-binomial generalized additive models that represented site-specific seasonal phenology and nonlinear associations with temperature, relative humidity, and lunar phase. We also grouped species by characteristic echolocation frequency into low- (&lt;25 kHz), mid- (25–40 kHz), and high-frequency (&gt;40 kHz) groups to test an a priori prediction from acoustic-attenuation theory that sensitivity to atmospheric conditions would increase with call frequency. Seasonal activity differed substantially among sites, and the inferred seasonal trajectory changed markedly after conditioning on nightly environmental conditions. Temperature was positively associated with activity across all three frequency groups. In contrast, the association with relative humidity became increasingly negative from low- to mid- to high-frequency groups, with the strongest decline among high-frequency species, matching the predicted ordering from ultrasonic sound propagation. Lunar responses were weaker and less consistent among frequency groups. These results indicate that environmental conditions can influence bat assemblages through both broadly shared ecological processes and mechanisms linked to sensory biology. In particular, the correspondence between the predicted and observed frequency-dependent humidity response provides field evidence that atmospheric transmission contributes to environmental variation in bat activity.</w:t>
      </w:r>
    </w:p>
    <w:bookmarkEnd w:id="10"/>
    <w:bookmarkStart w:id="11" w:name="introduction"/>
    <w:p>
      <w:pPr>
        <w:pStyle w:val="Heading1"/>
      </w:pPr>
      <w:r>
        <w:t xml:space="preserve">Introduction</w:t>
      </w:r>
    </w:p>
    <w:p>
      <w:pPr>
        <w:pStyle w:val="FirstParagraph"/>
      </w:pPr>
      <w:r>
        <w:t xml:space="preserve">Seasonal variation is a prominent feature of insectivorous bat activity in temperate ecosystems. Activity commonly changes across the active season as migration, reproduction, prey availability, roost use, and other aspects of bat ecology change, while temperature and other environmental conditions vary over the same period</w:t>
      </w:r>
      <w:r>
        <w:t xml:space="preserve"> </w:t>
      </w:r>
      <w:r>
        <w:t xml:space="preserve">(Barros et al., 2014; Boukhari et al., 2025; Escobar &amp; Villaseñor, 2024; Meola et al., 2025)</w:t>
      </w:r>
      <w:r>
        <w:t xml:space="preserve">. Nightly bat activity may therefore reflect both biological phenology and immediate environmental conditions. Because temperature, humidity, and other environmental variables are themselves seasonally structured, apparent seasonal patterns can incorporate several processes simultaneously. Distinguishing these relationships requires representing seasonal phenology while evaluating associations with nightly environmental conditions.</w:t>
      </w:r>
    </w:p>
    <w:p>
      <w:pPr>
        <w:pStyle w:val="BodyText"/>
      </w:pPr>
      <w:r>
        <w:t xml:space="preserve">Among these environmental conditions, relative humidity provides a particularly strong mechanistic prediction of bat activity because atmospheric water vapor influences the propagation of ultrasonic sound. Atmospheric attenuation increases strongly with ultrasonic frequency, while its relationship with humidity is nonlinear and frequency dependent</w:t>
      </w:r>
      <w:r>
        <w:t xml:space="preserve"> </w:t>
      </w:r>
      <w:r>
        <w:t xml:space="preserve">(Griffin, 1971; Lawrence &amp; Simmons, 1982)</w:t>
      </w:r>
      <w:r>
        <w:t xml:space="preserve">. Consequently, changes in atmospheric conditions can alter the effective distance over which echolocating bats detect prey, with potentially greater consequences for species using higher-frequency calls. Experimental work further indicates that behavioral adjustments in call structure may only partially compensate for weather-induced changes in attenuation and prey-detection distance</w:t>
      </w:r>
      <w:r>
        <w:t xml:space="preserve"> </w:t>
      </w:r>
      <w:r>
        <w:t xml:space="preserve">(</w:t>
      </w:r>
      <w:r>
        <w:t xml:space="preserve">de Framond et al.</w:t>
      </w:r>
      <w:r>
        <w:t xml:space="preserve">, 2023)</w:t>
      </w:r>
      <w:r>
        <w:t xml:space="preserve">.</w:t>
      </w:r>
    </w:p>
    <w:p>
      <w:pPr>
        <w:pStyle w:val="BodyText"/>
      </w:pPr>
      <w:r>
        <w:t xml:space="preserve">This frequency dependence generates an a priori community-level prediction. If atmospheric transmission contributes to the relationship between humidity and bat activity, species using relatively low-frequency calls should be less sensitive to variation in humidity than species using higher-frequency calls. Intermediate-frequency species should show stronger responses, and the greatest sensitivity should occur among high-frequency species. Importantly, this prediction follows from the physics of ultrasonic propagation rather than from patterns observed in the activity data. Frequency-stratified field observations therefore provide an opportunity to test whether an independently defined sensory characteristic predicts environmental responses within a bat assemblage.</w:t>
      </w:r>
    </w:p>
    <w:p>
      <w:pPr>
        <w:pStyle w:val="BodyText"/>
      </w:pPr>
      <w:r>
        <w:t xml:space="preserve">Temperature provides a different ecological expectation. Positive associations between temperature and insectivorous bat activity are widely reported, particularly in temperate systems</w:t>
      </w:r>
      <w:r>
        <w:t xml:space="preserve"> </w:t>
      </w:r>
      <w:r>
        <w:t xml:space="preserve">(Andreozzi &amp; Merenlender, 2024; Bender &amp; Hartman, 2015; Mas et al., 2022)</w:t>
      </w:r>
      <w:r>
        <w:t xml:space="preserve">. Warmer conditions can increase the activity and availability of aerial insects while reducing thermoregulatory costs to bats, whereas cool conditions can simultaneously constrain prey availability and increase energetic costs. Temperature responses can nevertheless be nonlinear and differ among species, regions, and ecological contexts</w:t>
      </w:r>
      <w:r>
        <w:t xml:space="preserve"> </w:t>
      </w:r>
      <w:r>
        <w:t xml:space="preserve">(Ciechanowski et al., 2007; Escobar &amp; Villaseñor, 2024; Milne et al., 2005; Salvarina et al., 2023)</w:t>
      </w:r>
      <w:r>
        <w:t xml:space="preserve">. We therefore expected temperature to be positively associated with activity across much of the assemblage while allowing the magnitude and shape of that association to differ among groups. Unlike humidity-dependent atmospheric attenuation, however, there is no direct mechanistic reason to expect thermal sensitivity to vary systematically with echolocation frequency.</w:t>
      </w:r>
    </w:p>
    <w:p>
      <w:pPr>
        <w:pStyle w:val="BodyText"/>
      </w:pPr>
      <w:r>
        <w:t xml:space="preserve">The lunar cycle provides another predictable source of environmental variation, but its relationship with bat activity is less consistent. Increased nocturnal illumination has been proposed to reduce activity by increasing exposure to visually hunting predators, producing the pattern commonly termed lunar phobia</w:t>
      </w:r>
      <w:r>
        <w:t xml:space="preserve"> </w:t>
      </w:r>
      <w:r>
        <w:t xml:space="preserve">(Morrison, 1978; Prugh &amp; Golden, 2014; Saldaña-Vázquez &amp; Munguía-Rosas, 2013)</w:t>
      </w:r>
      <w:r>
        <w:t xml:space="preserve">. Across studies, however, associations with moonlight range from negative to negligible or positive and vary with habitat, foraging ecology, and geographic setting</w:t>
      </w:r>
      <w:r>
        <w:t xml:space="preserve"> </w:t>
      </w:r>
      <w:r>
        <w:t xml:space="preserve">(Appel et al., 2017; Hecker &amp; Brigham, 1999; Karlsson et al., 2002; Milne et al., 2005; Saldaña-Vázquez &amp; Munguía-Rosas, 2013)</w:t>
      </w:r>
      <w:r>
        <w:t xml:space="preserve">. Lunar phase provides a predictable index of the lunar cycle and potential nocturnal illumination, although realized moonlight also depends on cloud cover, moonrise and moonset, and habitat structure. We therefore expected lunar phase to have a weaker and more context-dependent association with activity than temperature or relative humidity.</w:t>
      </w:r>
    </w:p>
    <w:p>
      <w:pPr>
        <w:pStyle w:val="BodyText"/>
      </w:pPr>
      <w:r>
        <w:t xml:space="preserve">Seasonal phenology and nightly environmental conditions are not independent. Day of year structures both bat activity and weather, temperature can influence relative humidity, and the lunar cycle progresses independently while overlapping with these changing seasonal conditions. We therefore used an explicit causal structure to define the environmental associations of interest and to distinguish the overall seasonal pattern in bat activity from seasonal phenology remaining after accounting for nightly environmental conditions</w:t>
      </w:r>
      <w:r>
        <w:t xml:space="preserve"> </w:t>
      </w:r>
      <w:r>
        <w:t xml:space="preserve">(Pearl, 2009)</w:t>
      </w:r>
      <w:r>
        <w:t xml:space="preserve">. We combined this framework with site-specific seasonal trajectories and frequency-stratified analyses to evaluate environmental responses while accounting for local phenology and covariance among environmental predictors.</w:t>
      </w:r>
    </w:p>
    <w:p>
      <w:pPr>
        <w:pStyle w:val="BodyText"/>
      </w:pPr>
      <w:r>
        <w:t xml:space="preserve">We investigated seasonal phenology and nightly environmental associations with bat acoustic activity at eight sites in the northern Sierra Nevada of California. Our objectives were to (1) characterize the overall seasonal pattern in activity and determine how that pattern changed after accounting for nightly environmental conditions; (2) estimate associations of relative humidity, temperature, and lunar phase with activity among low-, mid-, and high-frequency echolocation groups; and (3) test the mechanistic prediction that sensitivity to relative humidity increases systematically with characteristic echolocation frequency.</w:t>
      </w:r>
    </w:p>
    <w:p>
      <w:pPr>
        <w:pStyle w:val="BodyText"/>
      </w:pPr>
      <w:r>
        <w:t xml:space="preserve">We predicted that accounting for nightly environmental conditions would alter the estimated seasonal pattern because weather covaries strongly with season. We expected temperature to be positively associated with activity across frequency groups, although response shapes could differ because the constituent species differ in ecology. Our strongest directional prediction concerned relative humidity: low-frequency activity should be comparatively insensitive to humidity, mid-frequency activity should show a stronger negative association, and high-frequency activity should show the strongest negative association. Finally, because lunar responses in temperate insectivorous bats are heterogeneous and context dependent, we expected lunar phase to have a comparatively weak and less consistent association with activity.</w:t>
      </w:r>
    </w:p>
    <w:bookmarkEnd w:id="11"/>
    <w:bookmarkStart w:id="26" w:name="methods"/>
    <w:p>
      <w:pPr>
        <w:pStyle w:val="Heading1"/>
      </w:pPr>
      <w:r>
        <w:t xml:space="preserve">Methods</w:t>
      </w:r>
    </w:p>
    <w:bookmarkStart w:id="16" w:name="study-area-and-acoustic-surveys"/>
    <w:p>
      <w:pPr>
        <w:pStyle w:val="Heading2"/>
      </w:pPr>
      <w:r>
        <w:t xml:space="preserve">Study area and acoustic surveys</w:t>
      </w:r>
    </w:p>
    <w:p>
      <w:pPr>
        <w:pStyle w:val="FirstParagraph"/>
      </w:pPr>
      <w:r>
        <w:t xml:space="preserve">Acoustic surveys were conducted at eight sites in Plumas County, California, in the northern Sierra Nevada, spanning an elevational gradient of 581–1,846 m. Most sites were near perennial water sources, including reservoirs (Bucks Lake, Lower Bucks Lake, Grizzly Forebay, and Three Lakes), tributary streams, and the North Fork Feather River; one site was situated in an upland meadow adjacent to forest (</w:t>
      </w:r>
      <w:hyperlink w:anchor="fig-map">
        <w:r>
          <w:rPr>
            <w:rStyle w:val="Hyperlink"/>
          </w:rPr>
          <w:t xml:space="preserve">Figure 1</w:t>
        </w:r>
      </w:hyperlink>
      <w:r>
        <w:t xml:space="preserve">). Surveys were conducted from April through October 2015, with detectors programmed to record from one hour before sunset to one hour after sunrise.</w:t>
      </w:r>
    </w:p>
    <w:tbl>
      <w:tblPr>
        <w:tblStyle w:val="Table"/>
        <w:tblW w:type="pct" w:w="5000"/>
        <w:tblLayout w:type="fixed"/>
        <w:tblLook w:firstRow="0" w:lastRow="0" w:firstColumn="0" w:lastColumn="0" w:noHBand="0" w:noVBand="0" w:val="0000"/>
      </w:tblPr>
      <w:tblGrid>
        <w:gridCol w:w="7920"/>
      </w:tblGrid>
      <w:tr>
        <w:tc>
          <w:tcPr/>
          <w:bookmarkStart w:id="15" w:name="fig-map"/>
          <w:p>
            <w:pPr>
              <w:pStyle w:val="Compact"/>
              <w:jc w:val="center"/>
            </w:pPr>
            <w:r>
              <w:drawing>
                <wp:inline>
                  <wp:extent cx="4533900" cy="3488196"/>
                  <wp:effectExtent b="0" l="0" r="0" t="0"/>
                  <wp:docPr descr="" title="" id="13" name="Picture"/>
                  <a:graphic>
                    <a:graphicData uri="http://schemas.openxmlformats.org/drawingml/2006/picture">
                      <pic:pic>
                        <pic:nvPicPr>
                          <pic:cNvPr descr="C:/Users/AHitch/Documents/Stillwater/BucksBats/figs/Figure1_map.PNG" id="14" name="Picture"/>
                          <pic:cNvPicPr>
                            <a:picLocks noChangeArrowheads="1" noChangeAspect="1"/>
                          </pic:cNvPicPr>
                        </pic:nvPicPr>
                        <pic:blipFill>
                          <a:blip r:embed="rId12"/>
                          <a:stretch>
                            <a:fillRect/>
                          </a:stretch>
                        </pic:blipFill>
                        <pic:spPr bwMode="auto">
                          <a:xfrm>
                            <a:off x="0" y="0"/>
                            <a:ext cx="4533900" cy="3488196"/>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Locations of eight passive acoustic monitoring sites in Plumas County, California, USA, in the northern Sierra Nevada. Detectors were distributed across an elevational gradient and included sites associated with Bucks Lake, Lower Bucks Lake, Grizzly Forebay, Three Lakes, and surrounding stream and upland habitats. The inset shows the location of the study area within northern California.</w:t>
            </w:r>
          </w:p>
          <w:bookmarkEnd w:id="15"/>
        </w:tc>
      </w:tr>
    </w:tbl>
    <w:p>
      <w:pPr>
        <w:pStyle w:val="BodyText"/>
      </w:pPr>
      <w:r>
        <w:t xml:space="preserve">Each site was equipped with an Anabat II ultrasonic detector and CF-ZCAIM data storage unit (Titley Electronics, Ballina, NSW, Australia) housed in a weatherproof enclosure mounted at least 1 m above the ground. Detectors were fitted with a microphone extension cable, weather shroud, and flat acoustic reflector. Units were powered by batteries recharged with 5-W solar panels and miniature charge controllers (EME Systems, Berkeley, California, USA). Detectors recorded relative humidity and nightly temperature. Lunar phase was obtained from the U.S. Naval Observatory (https://aa.usno.navy.mil/data/MoonFraction) and represented on a scale from 0 (new moon) to 1 (full moon). This variable indexes position in the lunar cycle rather than realized nocturnal illumination at individual sites.</w:t>
      </w:r>
    </w:p>
    <w:bookmarkEnd w:id="16"/>
    <w:bookmarkStart w:id="17" w:name="Xd2cb29b1ab07cc0ad1e859044d9dd990df90cd8"/>
    <w:p>
      <w:pPr>
        <w:pStyle w:val="Heading2"/>
      </w:pPr>
      <w:r>
        <w:t xml:space="preserve">Acoustic classification and activity index</w:t>
      </w:r>
    </w:p>
    <w:p>
      <w:pPr>
        <w:pStyle w:val="FirstParagraph"/>
      </w:pPr>
      <w:r>
        <w:t xml:space="preserve">Echolocation calls were classified using Kaleidoscope Pro (Wildlife Acoustics Inc., version 5.1.8) with the Bats of North America 5.1.0 classifier at the</w:t>
      </w:r>
      <w:r>
        <w:t xml:space="preserve"> </w:t>
      </w:r>
      <w:r>
        <w:t xml:space="preserve">“More Accurate (Conservative)”</w:t>
      </w:r>
      <w:r>
        <w:t xml:space="preserve"> </w:t>
      </w:r>
      <w:r>
        <w:t xml:space="preserve">setting. Ten percent of classified calls were manually vetted.</w:t>
      </w:r>
    </w:p>
    <w:p>
      <w:pPr>
        <w:pStyle w:val="BodyText"/>
      </w:pPr>
      <w:r>
        <w:t xml:space="preserve">Bat activity was quantified using a modified Acoustic Activity Index</w:t>
      </w:r>
      <w:r>
        <w:t xml:space="preserve"> </w:t>
      </w:r>
      <w:r>
        <w:t xml:space="preserve">(Miller, 2001)</w:t>
      </w:r>
      <w:r>
        <w:t xml:space="preserve"> </w:t>
      </w:r>
      <w:r>
        <w:t xml:space="preserve">based on 5-min sampling intervals. For each site-night, we counted the number of 5-min intervals containing at least one accepted bat detection. The response therefore represents the number of intervals in which bats were acoustically detected rather than the number of individual calls or bats.</w:t>
      </w:r>
    </w:p>
    <w:p>
      <w:pPr>
        <w:pStyle w:val="BodyText"/>
      </w:pPr>
      <w:r>
        <w:t xml:space="preserve">Because environmental measurements could be available on nights when acoustic sampling failed, we reconstructed detector effort independently of bat detections. Site-nights lacking evidence of usable acoustic recording were treated as unsampled and excluded from analysis; they were not assigned zero bat activity. Zero-activity observations were retained only when usable acoustic recordings demonstrated that the detector operated but no accepted bat detections occurred. This distinction prevented intermittent equipment failure from being represented as ecological absence in the seasonal and environmental response models.</w:t>
      </w:r>
    </w:p>
    <w:p>
      <w:pPr>
        <w:pStyle w:val="BodyText"/>
      </w:pPr>
      <w:r>
        <w:t xml:space="preserve">For environmental analyses, nightly mean temperature and relative humidity were standardized to a mean of zero and standard deviation of one. Day of year and lunar phase were retained on their original scales for model fitting.</w:t>
      </w:r>
    </w:p>
    <w:bookmarkEnd w:id="17"/>
    <w:bookmarkStart w:id="22" w:name="causal-structure-and-estimands"/>
    <w:p>
      <w:pPr>
        <w:pStyle w:val="Heading2"/>
      </w:pPr>
      <w:r>
        <w:t xml:space="preserve">Causal structure and estimands</w:t>
      </w:r>
    </w:p>
    <w:p>
      <w:pPr>
        <w:pStyle w:val="FirstParagraph"/>
      </w:pPr>
      <w:r>
        <w:t xml:space="preserve">We used the causal structure in</w:t>
      </w:r>
      <w:r>
        <w:t xml:space="preserve"> </w:t>
      </w:r>
      <w:hyperlink w:anchor="fig-dag">
        <w:r>
          <w:rPr>
            <w:rStyle w:val="Hyperlink"/>
          </w:rPr>
          <w:t xml:space="preserve">Figure 2</w:t>
        </w:r>
      </w:hyperlink>
      <w:r>
        <w:t xml:space="preserve"> </w:t>
      </w:r>
      <w:r>
        <w:t xml:space="preserve">to distinguish seasonal variation from conditional associations with nightly environmental conditions. Day of year was represented as a common cause of relative humidity, temperature, and bat acoustic activity, and temperature was additionally allowed to influence relative humidity. Relative humidity, temperature, and lunar phase were each represented as predictors of acoustic activity. The DAG was used to define the quantities estimated by the seasonal and environmental models rather than to infer causal effects from the observational data alone.</w:t>
      </w:r>
    </w:p>
    <w:tbl>
      <w:tblPr>
        <w:tblStyle w:val="Table"/>
        <w:tblW w:type="pct" w:w="5000"/>
        <w:tblLayout w:type="fixed"/>
        <w:tblLook w:firstRow="0" w:lastRow="0" w:firstColumn="0" w:lastColumn="0" w:noHBand="0" w:noVBand="0" w:val="0000"/>
      </w:tblPr>
      <w:tblGrid>
        <w:gridCol w:w="7920"/>
      </w:tblGrid>
      <w:tr>
        <w:tc>
          <w:tcPr/>
          <w:bookmarkStart w:id="21" w:name="fig-dag"/>
          <w:p>
            <w:pPr>
              <w:pStyle w:val="Compact"/>
              <w:jc w:val="center"/>
            </w:pPr>
            <w:r>
              <w:drawing>
                <wp:inline>
                  <wp:extent cx="4533900" cy="3022599"/>
                  <wp:effectExtent b="0" l="0" r="0" t="0"/>
                  <wp:docPr descr="" title="" id="19" name="Picture"/>
                  <a:graphic>
                    <a:graphicData uri="http://schemas.openxmlformats.org/drawingml/2006/picture">
                      <pic:pic>
                        <pic:nvPicPr>
                          <pic:cNvPr descr="C:/Users/AHitch/Documents/Stillwater/BucksBats/figs/Figure2_DAG.PNG" id="20" name="Picture"/>
                          <pic:cNvPicPr>
                            <a:picLocks noChangeArrowheads="1" noChangeAspect="1"/>
                          </pic:cNvPicPr>
                        </pic:nvPicPr>
                        <pic:blipFill>
                          <a:blip r:embed="rId18"/>
                          <a:stretch>
                            <a:fillRect/>
                          </a:stretch>
                        </pic:blipFill>
                        <pic:spPr bwMode="auto">
                          <a:xfrm>
                            <a:off x="0" y="0"/>
                            <a:ext cx="4533900" cy="3022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Directed acyclic graph representing the hypothesized relationships among day of year, nightly temperature, relative humidity, lunar phase, and bat acoustic activity. Arrows represent assumed causal relationships used to guide model specification and interpretation. Day of year represents seasonal structure in activity and environmental conditions not otherwise represented by the measured nightly covariates. Temperature was hypothesized to influence relative humidity in addition to bat activity; relative humidity and lunar phase were also hypothesized to influence activity. The graph was used to define the total seasonal and conditional environmental estimands.</w:t>
            </w:r>
          </w:p>
          <w:bookmarkEnd w:id="21"/>
        </w:tc>
      </w:tr>
    </w:tbl>
    <w:p>
      <w:pPr>
        <w:pStyle w:val="BodyText"/>
      </w:pPr>
      <w:r>
        <w:t xml:space="preserve">The total seasonal model estimated variation in acoustic activity across day of year without conditioning on nightly temperature, relative humidity, or lunar phase. Because environmental conditions are themselves seasonally structured, this model represents the seasonal activity pattern expressed under the environmental conditions occurring during the study.</w:t>
      </w:r>
    </w:p>
    <w:p>
      <w:pPr>
        <w:pStyle w:val="BodyText"/>
      </w:pPr>
      <w:r>
        <w:t xml:space="preserve">The conditional environmental model included day of year, relative humidity, nightly temperature, and lunar phase simultaneously. Environmental response curves therefore represent associations with each focal predictor conditional on the remaining modeled predictors and site-specific seasonal phenology. The day-of-year component of this model represents seasonal structure remaining after accounting for the measured nightly environmental conditions. Comparing the total and conditional seasonal trajectories allowed us to distinguish the observed seasonal pattern from seasonal structure not associated with the measured nightly covariates.</w:t>
      </w:r>
    </w:p>
    <w:bookmarkEnd w:id="22"/>
    <w:bookmarkStart w:id="23" w:name="Xf41802852fb3bb763f27b89a2d1ce902d9fc357"/>
    <w:p>
      <w:pPr>
        <w:pStyle w:val="Heading2"/>
      </w:pPr>
      <w:r>
        <w:t xml:space="preserve">Characteristic echolocation-frequency groups</w:t>
      </w:r>
    </w:p>
    <w:p>
      <w:pPr>
        <w:pStyle w:val="FirstParagraph"/>
      </w:pPr>
      <w:r>
        <w:t xml:space="preserve">To test whether environmental responses varied with characteristic echolocation frequency, we classified each species into one of three frequency groups: low (&lt;25 kHz), mid (25–40 kHz), and high (&gt;40 kHz). Characteristic frequency (</w:t>
      </w:r>
      <m:oMath>
        <m:sSub>
          <m:e>
            <m:r>
              <m:t>f</m:t>
            </m:r>
          </m:e>
          <m:sub>
            <m:r>
              <m:t>c</m:t>
            </m:r>
          </m:sub>
        </m:sSub>
      </m:oMath>
      <w:r>
        <w:t xml:space="preserve">) was defined as the frequency at the lowest, flattest portion of the descending frequency-modulated sweep of an echolocation call, where call bandwidth is narrowest and the call typically provides its diagnostic signal for species identification</w:t>
      </w:r>
      <w:r>
        <w:t xml:space="preserve"> </w:t>
      </w:r>
      <w:r>
        <w:t xml:space="preserve">(Fenton &amp; Bell, 1981; O’Farrell et al., 1999)</w:t>
      </w:r>
      <w:r>
        <w:t xml:space="preserve">. Group boundaries were based on species accounts in the Western Bat Working Group reference and the Kaleidoscope Pro classifier reference-call library and were chosen to represent broad frequency ranges over which atmospheric attenuation of ultrasound is expected to differ in its sensitivity to environmental conditions</w:t>
      </w:r>
      <w:r>
        <w:t xml:space="preserve"> </w:t>
      </w:r>
      <w:r>
        <w:t xml:space="preserve">(Griffin, 1971; Lawrence &amp; Simmons, 1982)</w:t>
      </w:r>
      <w:r>
        <w:t xml:space="preserve">.</w:t>
      </w:r>
    </w:p>
    <w:p>
      <w:pPr>
        <w:pStyle w:val="BodyText"/>
      </w:pPr>
      <w:r>
        <w:t xml:space="preserve">The low-frequency group contained</w:t>
      </w:r>
      <w:r>
        <w:t xml:space="preserve"> </w:t>
      </w:r>
      <w:r>
        <w:rPr>
          <w:i/>
          <w:iCs/>
        </w:rPr>
        <w:t xml:space="preserve">Lasiurus cinereus</w:t>
      </w:r>
      <w:r>
        <w:t xml:space="preserve">,</w:t>
      </w:r>
      <w:r>
        <w:t xml:space="preserve"> </w:t>
      </w:r>
      <w:r>
        <w:rPr>
          <w:i/>
          <w:iCs/>
        </w:rPr>
        <w:t xml:space="preserve">Eumops perotis</w:t>
      </w:r>
      <w:r>
        <w:t xml:space="preserve">, and</w:t>
      </w:r>
      <w:r>
        <w:t xml:space="preserve"> </w:t>
      </w:r>
      <w:r>
        <w:rPr>
          <w:i/>
          <w:iCs/>
        </w:rPr>
        <w:t xml:space="preserve">Euderma maculatum</w:t>
      </w:r>
      <w:r>
        <w:t xml:space="preserve">. The mid-frequency group contained</w:t>
      </w:r>
      <w:r>
        <w:t xml:space="preserve"> </w:t>
      </w:r>
      <w:r>
        <w:rPr>
          <w:i/>
          <w:iCs/>
        </w:rPr>
        <w:t xml:space="preserve">Eptesicus fuscus</w:t>
      </w:r>
      <w:r>
        <w:t xml:space="preserve">,</w:t>
      </w:r>
      <w:r>
        <w:t xml:space="preserve"> </w:t>
      </w:r>
      <w:r>
        <w:rPr>
          <w:i/>
          <w:iCs/>
        </w:rPr>
        <w:t xml:space="preserve">Lasionycteris noctivagans</w:t>
      </w:r>
      <w:r>
        <w:t xml:space="preserve">,</w:t>
      </w:r>
      <w:r>
        <w:t xml:space="preserve"> </w:t>
      </w:r>
      <w:r>
        <w:rPr>
          <w:i/>
          <w:iCs/>
        </w:rPr>
        <w:t xml:space="preserve">Tadarida brasiliensis</w:t>
      </w:r>
      <w:r>
        <w:t xml:space="preserve">,</w:t>
      </w:r>
      <w:r>
        <w:t xml:space="preserve"> </w:t>
      </w:r>
      <w:r>
        <w:rPr>
          <w:i/>
          <w:iCs/>
        </w:rPr>
        <w:t xml:space="preserve">Antrozous pallidus</w:t>
      </w:r>
      <w:r>
        <w:t xml:space="preserve">,</w:t>
      </w:r>
      <w:r>
        <w:t xml:space="preserve"> </w:t>
      </w:r>
      <w:r>
        <w:rPr>
          <w:i/>
          <w:iCs/>
        </w:rPr>
        <w:t xml:space="preserve">Myotis evotis</w:t>
      </w:r>
      <w:r>
        <w:t xml:space="preserve">,</w:t>
      </w:r>
      <w:r>
        <w:t xml:space="preserve"> </w:t>
      </w:r>
      <w:r>
        <w:rPr>
          <w:i/>
          <w:iCs/>
        </w:rPr>
        <w:t xml:space="preserve">Myotis thysanodes</w:t>
      </w:r>
      <w:r>
        <w:t xml:space="preserve">, and</w:t>
      </w:r>
      <w:r>
        <w:t xml:space="preserve"> </w:t>
      </w:r>
      <w:r>
        <w:rPr>
          <w:i/>
          <w:iCs/>
        </w:rPr>
        <w:t xml:space="preserve">Corynorhinus townsendii</w:t>
      </w:r>
      <w:r>
        <w:t xml:space="preserve">. The high-frequency group contained</w:t>
      </w:r>
      <w:r>
        <w:t xml:space="preserve"> </w:t>
      </w:r>
      <w:r>
        <w:rPr>
          <w:i/>
          <w:iCs/>
        </w:rPr>
        <w:t xml:space="preserve">Myotis yumanensis</w:t>
      </w:r>
      <w:r>
        <w:t xml:space="preserve">,</w:t>
      </w:r>
      <w:r>
        <w:t xml:space="preserve"> </w:t>
      </w:r>
      <w:r>
        <w:rPr>
          <w:i/>
          <w:iCs/>
        </w:rPr>
        <w:t xml:space="preserve">M. lucifugus</w:t>
      </w:r>
      <w:r>
        <w:t xml:space="preserve">,</w:t>
      </w:r>
      <w:r>
        <w:t xml:space="preserve"> </w:t>
      </w:r>
      <w:r>
        <w:rPr>
          <w:i/>
          <w:iCs/>
        </w:rPr>
        <w:t xml:space="preserve">M. californicus</w:t>
      </w:r>
      <w:r>
        <w:t xml:space="preserve">,</w:t>
      </w:r>
      <w:r>
        <w:t xml:space="preserve"> </w:t>
      </w:r>
      <w:r>
        <w:rPr>
          <w:i/>
          <w:iCs/>
        </w:rPr>
        <w:t xml:space="preserve">M. ciliolabrum</w:t>
      </w:r>
      <w:r>
        <w:t xml:space="preserve">,</w:t>
      </w:r>
      <w:r>
        <w:t xml:space="preserve"> </w:t>
      </w:r>
      <w:r>
        <w:rPr>
          <w:i/>
          <w:iCs/>
        </w:rPr>
        <w:t xml:space="preserve">M. volans</w:t>
      </w:r>
      <w:r>
        <w:t xml:space="preserve">,</w:t>
      </w:r>
      <w:r>
        <w:t xml:space="preserve"> </w:t>
      </w:r>
      <w:r>
        <w:rPr>
          <w:i/>
          <w:iCs/>
        </w:rPr>
        <w:t xml:space="preserve">Parastrellus hesperus</w:t>
      </w:r>
      <w:r>
        <w:t xml:space="preserve">, and</w:t>
      </w:r>
      <w:r>
        <w:t xml:space="preserve"> </w:t>
      </w:r>
      <w:r>
        <w:rPr>
          <w:i/>
          <w:iCs/>
        </w:rPr>
        <w:t xml:space="preserve">Lasiurus frantzii</w:t>
      </w:r>
      <w:r>
        <w:t xml:space="preserve">. Full species-level information, characteristic frequencies, and detection totals are provided in Table S4.</w:t>
      </w:r>
    </w:p>
    <w:p>
      <w:pPr>
        <w:pStyle w:val="BodyText"/>
      </w:pPr>
      <w:r>
        <w:t xml:space="preserve">For each frequency group, nightly activity at each site was calculated as the number of 5-min intervals containing at least one detection from any species assigned to that group. Frequency-group activity was analyzed using the same negative-binomial likelihood, site-specific seasonal structure, environmental predictors, and model-assessment framework used for aggregate activity.</w:t>
      </w:r>
    </w:p>
    <w:bookmarkEnd w:id="23"/>
    <w:bookmarkStart w:id="24" w:name="bayesian-generalized-additive-models"/>
    <w:p>
      <w:pPr>
        <w:pStyle w:val="Heading2"/>
      </w:pPr>
      <w:r>
        <w:t xml:space="preserve">Bayesian generalized additive models</w:t>
      </w:r>
    </w:p>
    <w:p>
      <w:pPr>
        <w:pStyle w:val="FirstParagraph"/>
      </w:pPr>
      <w:r>
        <w:t xml:space="preserve">We modeled nightly acoustic activity using Bayesian generalized additive models (GAMs) with a negative-binomial distribution and log link. The negative-binomial likelihood accommodated substantial among-night variation in the number of occupied 5-min intervals.</w:t>
      </w:r>
    </w:p>
    <w:p>
      <w:pPr>
        <w:pStyle w:val="BodyText"/>
      </w:pPr>
      <w:r>
        <w:t xml:space="preserve">We represented seasonal activity using a population-level smooth of day of year together with a factor-smooth interaction between day of year and site. The factor smooth estimated penalized site-specific departures from the overall seasonal trajectory, allowing the timing and magnitude of phenology to differ among sites while sharing information across sites.</w:t>
      </w:r>
    </w:p>
    <w:p>
      <w:pPr>
        <w:pStyle w:val="BodyText"/>
      </w:pPr>
      <w:r>
        <w:t xml:space="preserve">The total seasonal model was</w:t>
      </w:r>
    </w:p>
    <w:p>
      <w:pPr>
        <w:pStyle w:val="BodyText"/>
      </w:pPr>
      <m:oMathPara>
        <m:oMathParaPr>
          <m:jc m:val="center"/>
        </m:oMathParaPr>
        <m:oMath>
          <m:sSub>
            <m:e>
              <m:r>
                <m:t>n</m:t>
              </m:r>
            </m:e>
            <m:sub>
              <m:r>
                <m:t>i</m:t>
              </m:r>
              <m:r>
                <m:t>t</m:t>
              </m:r>
            </m:sub>
          </m:sSub>
          <m:r>
            <m:rPr>
              <m:sty m:val="p"/>
            </m:rPr>
            <m:t>∼</m:t>
          </m:r>
          <m:r>
            <m:rPr>
              <m:sty m:val="p"/>
            </m:rPr>
            <m:t>N</m:t>
          </m:r>
          <m:r>
            <m:rPr>
              <m:sty m:val="p"/>
            </m:rPr>
            <m:t>e</m:t>
          </m:r>
          <m:r>
            <m:rPr>
              <m:sty m:val="p"/>
            </m:rPr>
            <m:t>g</m:t>
          </m:r>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sSub>
            <m:e>
              <m:r>
                <m:t>μ</m:t>
              </m:r>
            </m:e>
            <m:sub>
              <m:r>
                <m:t>i</m:t>
              </m:r>
              <m:r>
                <m:t>t</m:t>
              </m:r>
            </m:sub>
          </m:sSub>
          <m:r>
            <m:rPr>
              <m:sty m:val="p"/>
            </m:rPr>
            <m:t>,</m:t>
          </m:r>
          <m:r>
            <m:t>ϕ</m:t>
          </m:r>
          <m:r>
            <m:rPr>
              <m:sty m:val="p"/>
            </m:rPr>
            <m:t>)</m:t>
          </m:r>
          <m:r>
            <m:rPr>
              <m:sty m:val="p"/>
            </m:rPr>
            <m:t>,</m:t>
          </m:r>
        </m:oMath>
      </m:oMathPara>
    </w:p>
    <w:p>
      <w:pPr>
        <w:pStyle w:val="FirstParagraph"/>
      </w:pPr>
      <m:oMathPara>
        <m:oMathParaPr>
          <m:jc m:val="center"/>
        </m:oMathParaPr>
        <m:oMath>
          <m:r>
            <m:rPr>
              <m:sty m:val="p"/>
            </m:rPr>
            <m:t>log</m:t>
          </m:r>
          <m:r>
            <m:rPr>
              <m:sty m:val="p"/>
            </m:rPr>
            <m:t>(</m:t>
          </m:r>
          <m:sSub>
            <m:e>
              <m:r>
                <m:t>μ</m:t>
              </m:r>
            </m:e>
            <m:sub>
              <m:r>
                <m:t>i</m:t>
              </m:r>
              <m:r>
                <m:t>t</m:t>
              </m:r>
            </m:sub>
          </m:sSub>
          <m:r>
            <m:rPr>
              <m:sty m:val="p"/>
            </m:rPr>
            <m:t>)</m:t>
          </m:r>
          <m:r>
            <m:rPr>
              <m:sty m:val="p"/>
            </m:rPr>
            <m:t>=</m:t>
          </m:r>
          <m:sSub>
            <m:e>
              <m:r>
                <m:t>β</m:t>
              </m:r>
            </m:e>
            <m:sub>
              <m:r>
                <m:t>0</m:t>
              </m:r>
            </m:sub>
          </m:sSub>
          <m:r>
            <m:rPr>
              <m:sty m:val="p"/>
            </m:rPr>
            <m:t>+</m:t>
          </m:r>
          <m:r>
            <m:t>f</m:t>
          </m:r>
          <m:r>
            <m:rPr>
              <m:sty m:val="p"/>
            </m:rPr>
            <m:t>(</m:t>
          </m:r>
          <m:sSub>
            <m:e>
              <m:r>
                <m:rPr>
                  <m:sty m:val="p"/>
                </m:rPr>
                <m:t>D</m:t>
              </m:r>
              <m:r>
                <m:rPr>
                  <m:sty m:val="p"/>
                </m:rPr>
                <m:t>O</m:t>
              </m:r>
              <m:r>
                <m:rPr>
                  <m:sty m:val="p"/>
                </m:rPr>
                <m:t>Y</m:t>
              </m:r>
            </m:e>
            <m:sub>
              <m:r>
                <m:t>i</m:t>
              </m:r>
              <m:r>
                <m:t>t</m:t>
              </m:r>
            </m:sub>
          </m:sSub>
          <m:r>
            <m:rPr>
              <m:sty m:val="p"/>
            </m:rPr>
            <m:t>)</m:t>
          </m:r>
          <m:r>
            <m:rPr>
              <m:sty m:val="p"/>
            </m:rPr>
            <m:t>+</m:t>
          </m:r>
          <m:sSub>
            <m:e>
              <m:r>
                <m:t>f</m:t>
              </m:r>
            </m:e>
            <m:sub>
              <m:r>
                <m:rPr>
                  <m:sty m:val="p"/>
                </m:rPr>
                <m:t>s</m:t>
              </m:r>
              <m:r>
                <m:rPr>
                  <m:sty m:val="p"/>
                </m:rPr>
                <m:t>i</m:t>
              </m:r>
              <m:r>
                <m:rPr>
                  <m:sty m:val="p"/>
                </m:rPr>
                <m:t>t</m:t>
              </m:r>
              <m:r>
                <m:rPr>
                  <m:sty m:val="p"/>
                </m:rPr>
                <m:t>e</m:t>
              </m:r>
            </m:sub>
          </m:sSub>
          <m:r>
            <m:rPr>
              <m:sty m:val="p"/>
            </m:rPr>
            <m:t>(</m:t>
          </m:r>
          <m:sSub>
            <m:e>
              <m:r>
                <m:rPr>
                  <m:sty m:val="p"/>
                </m:rPr>
                <m:t>D</m:t>
              </m:r>
              <m:r>
                <m:rPr>
                  <m:sty m:val="p"/>
                </m:rPr>
                <m:t>O</m:t>
              </m:r>
              <m:r>
                <m:rPr>
                  <m:sty m:val="p"/>
                </m:rPr>
                <m:t>Y</m:t>
              </m:r>
            </m:e>
            <m:sub>
              <m:r>
                <m:t>i</m:t>
              </m:r>
              <m:r>
                <m:t>t</m:t>
              </m:r>
            </m:sub>
          </m:sSub>
          <m:r>
            <m:rPr>
              <m:sty m:val="p"/>
            </m:rPr>
            <m:t>)</m:t>
          </m:r>
          <m:r>
            <m:rPr>
              <m:sty m:val="p"/>
            </m:rPr>
            <m:t>,</m:t>
          </m:r>
        </m:oMath>
      </m:oMathPara>
    </w:p>
    <w:p>
      <w:pPr>
        <w:pStyle w:val="FirstParagraph"/>
      </w:pPr>
      <w:r>
        <w:t xml:space="preserve">where</w:t>
      </w:r>
      <w:r>
        <w:t xml:space="preserve"> </w:t>
      </w:r>
      <m:oMath>
        <m:sSub>
          <m:e>
            <m:r>
              <m:t>n</m:t>
            </m:r>
          </m:e>
          <m:sub>
            <m:r>
              <m:t>i</m:t>
            </m:r>
            <m:r>
              <m:t>t</m:t>
            </m:r>
          </m:sub>
        </m:sSub>
      </m:oMath>
      <w:r>
        <w:t xml:space="preserve"> </w:t>
      </w:r>
      <w:r>
        <w:t xml:space="preserve">is the number of 5-min intervals containing at least one bat detection at site</w:t>
      </w:r>
      <w:r>
        <w:t xml:space="preserve"> </w:t>
      </w:r>
      <m:oMath>
        <m:r>
          <m:t>i</m:t>
        </m:r>
      </m:oMath>
      <w:r>
        <w:t xml:space="preserve"> </w:t>
      </w:r>
      <w:r>
        <w:t xml:space="preserve">on night</w:t>
      </w:r>
      <w:r>
        <w:t xml:space="preserve"> </w:t>
      </w:r>
      <m:oMath>
        <m:r>
          <m:t>t</m:t>
        </m:r>
      </m:oMath>
      <w:r>
        <w:t xml:space="preserve">,</w:t>
      </w:r>
      <w:r>
        <w:t xml:space="preserve"> </w:t>
      </w:r>
      <m:oMath>
        <m:r>
          <m:t>f</m:t>
        </m:r>
        <m:r>
          <m:rPr>
            <m:sty m:val="p"/>
          </m:rPr>
          <m:t>(</m:t>
        </m:r>
        <m:r>
          <m:rPr>
            <m:sty m:val="p"/>
          </m:rPr>
          <m:t>D</m:t>
        </m:r>
        <m:r>
          <m:rPr>
            <m:sty m:val="p"/>
          </m:rPr>
          <m:t>O</m:t>
        </m:r>
        <m:r>
          <m:rPr>
            <m:sty m:val="p"/>
          </m:rPr>
          <m:t>Y</m:t>
        </m:r>
        <m:r>
          <m:rPr>
            <m:sty m:val="p"/>
          </m:rPr>
          <m:t>)</m:t>
        </m:r>
      </m:oMath>
      <w:r>
        <w:t xml:space="preserve"> </w:t>
      </w:r>
      <w:r>
        <w:t xml:space="preserve">represents the overall seasonal trajectory, and</w:t>
      </w:r>
      <w:r>
        <w:t xml:space="preserve"> </w:t>
      </w:r>
      <m:oMath>
        <m:sSub>
          <m:e>
            <m:r>
              <m:t>f</m:t>
            </m:r>
          </m:e>
          <m:sub>
            <m:r>
              <m:rPr>
                <m:sty m:val="p"/>
              </m:rPr>
              <m:t>s</m:t>
            </m:r>
            <m:r>
              <m:rPr>
                <m:sty m:val="p"/>
              </m:rPr>
              <m:t>i</m:t>
            </m:r>
            <m:r>
              <m:rPr>
                <m:sty m:val="p"/>
              </m:rPr>
              <m:t>t</m:t>
            </m:r>
            <m:r>
              <m:rPr>
                <m:sty m:val="p"/>
              </m:rPr>
              <m:t>e</m:t>
            </m:r>
          </m:sub>
        </m:sSub>
        <m:r>
          <m:rPr>
            <m:sty m:val="p"/>
          </m:rPr>
          <m:t>(</m:t>
        </m:r>
        <m:r>
          <m:rPr>
            <m:sty m:val="p"/>
          </m:rPr>
          <m:t>D</m:t>
        </m:r>
        <m:r>
          <m:rPr>
            <m:sty m:val="p"/>
          </m:rPr>
          <m:t>O</m:t>
        </m:r>
        <m:r>
          <m:rPr>
            <m:sty m:val="p"/>
          </m:rPr>
          <m:t>Y</m:t>
        </m:r>
        <m:r>
          <m:rPr>
            <m:sty m:val="p"/>
          </m:rPr>
          <m:t>)</m:t>
        </m:r>
      </m:oMath>
      <w:r>
        <w:t xml:space="preserve"> </w:t>
      </w:r>
      <w:r>
        <w:t xml:space="preserve">represents penalized site-specific departures from that trajectory.</w:t>
      </w:r>
    </w:p>
    <w:p>
      <w:pPr>
        <w:pStyle w:val="BodyText"/>
      </w:pPr>
      <w:r>
        <w:t xml:space="preserve">The conditional environmental model was</w:t>
      </w:r>
    </w:p>
    <w:p>
      <w:pPr>
        <w:pStyle w:val="BodyText"/>
      </w:pPr>
      <m:oMathPara>
        <m:oMathParaPr>
          <m:jc m:val="center"/>
        </m:oMathParaPr>
        <m:oMath>
          <m:r>
            <m:rPr>
              <m:sty m:val="p"/>
            </m:rPr>
            <m:t>log</m:t>
          </m:r>
          <m:r>
            <m:rPr>
              <m:sty m:val="p"/>
            </m:rPr>
            <m:t>(</m:t>
          </m:r>
          <m:sSub>
            <m:e>
              <m:r>
                <m:t>μ</m:t>
              </m:r>
            </m:e>
            <m:sub>
              <m:r>
                <m:t>i</m:t>
              </m:r>
              <m:r>
                <m:t>t</m:t>
              </m:r>
            </m:sub>
          </m:sSub>
          <m:r>
            <m:rPr>
              <m:sty m:val="p"/>
            </m:rPr>
            <m:t>)</m:t>
          </m:r>
          <m:r>
            <m:rPr>
              <m:sty m:val="p"/>
            </m:rPr>
            <m:t>=</m:t>
          </m:r>
          <m:sSub>
            <m:e>
              <m:r>
                <m:t>β</m:t>
              </m:r>
            </m:e>
            <m:sub>
              <m:r>
                <m:t>0</m:t>
              </m:r>
            </m:sub>
          </m:sSub>
          <m:r>
            <m:rPr>
              <m:sty m:val="p"/>
            </m:rPr>
            <m:t>+</m:t>
          </m:r>
          <m:r>
            <m:t>f</m:t>
          </m:r>
          <m:r>
            <m:rPr>
              <m:sty m:val="p"/>
            </m:rPr>
            <m:t>(</m:t>
          </m:r>
          <m:sSub>
            <m:e>
              <m:r>
                <m:rPr>
                  <m:sty m:val="p"/>
                </m:rPr>
                <m:t>D</m:t>
              </m:r>
              <m:r>
                <m:rPr>
                  <m:sty m:val="p"/>
                </m:rPr>
                <m:t>O</m:t>
              </m:r>
              <m:r>
                <m:rPr>
                  <m:sty m:val="p"/>
                </m:rPr>
                <m:t>Y</m:t>
              </m:r>
            </m:e>
            <m:sub>
              <m:r>
                <m:t>i</m:t>
              </m:r>
              <m:r>
                <m:t>t</m:t>
              </m:r>
            </m:sub>
          </m:sSub>
          <m:r>
            <m:rPr>
              <m:sty m:val="p"/>
            </m:rPr>
            <m:t>)</m:t>
          </m:r>
          <m:r>
            <m:rPr>
              <m:sty m:val="p"/>
            </m:rPr>
            <m:t>+</m:t>
          </m:r>
          <m:sSub>
            <m:e>
              <m:r>
                <m:t>f</m:t>
              </m:r>
            </m:e>
            <m:sub>
              <m:r>
                <m:rPr>
                  <m:sty m:val="p"/>
                </m:rPr>
                <m:t>s</m:t>
              </m:r>
              <m:r>
                <m:rPr>
                  <m:sty m:val="p"/>
                </m:rPr>
                <m:t>i</m:t>
              </m:r>
              <m:r>
                <m:rPr>
                  <m:sty m:val="p"/>
                </m:rPr>
                <m:t>t</m:t>
              </m:r>
              <m:r>
                <m:rPr>
                  <m:sty m:val="p"/>
                </m:rPr>
                <m:t>e</m:t>
              </m:r>
            </m:sub>
          </m:sSub>
          <m:r>
            <m:rPr>
              <m:sty m:val="p"/>
            </m:rPr>
            <m:t>(</m:t>
          </m:r>
          <m:sSub>
            <m:e>
              <m:r>
                <m:rPr>
                  <m:sty m:val="p"/>
                </m:rPr>
                <m:t>D</m:t>
              </m:r>
              <m:r>
                <m:rPr>
                  <m:sty m:val="p"/>
                </m:rPr>
                <m:t>O</m:t>
              </m:r>
              <m:r>
                <m:rPr>
                  <m:sty m:val="p"/>
                </m:rPr>
                <m:t>Y</m:t>
              </m:r>
            </m:e>
            <m:sub>
              <m:r>
                <m:t>i</m:t>
              </m:r>
              <m:r>
                <m:t>t</m:t>
              </m:r>
            </m:sub>
          </m:sSub>
          <m:r>
            <m:rPr>
              <m:sty m:val="p"/>
            </m:rPr>
            <m:t>)</m:t>
          </m:r>
          <m:r>
            <m:rPr>
              <m:sty m:val="p"/>
            </m:rPr>
            <m:t>+</m:t>
          </m:r>
          <m:r>
            <m:t>f</m:t>
          </m:r>
          <m:r>
            <m:rPr>
              <m:sty m:val="p"/>
            </m:rPr>
            <m:t>(</m:t>
          </m:r>
          <m:r>
            <m:t>R</m:t>
          </m:r>
          <m:sSub>
            <m:e>
              <m:r>
                <m:t>H</m:t>
              </m:r>
            </m:e>
            <m:sub>
              <m:r>
                <m:t>i</m:t>
              </m:r>
              <m:r>
                <m:t>t</m:t>
              </m:r>
            </m:sub>
          </m:sSub>
          <m:r>
            <m:rPr>
              <m:sty m:val="p"/>
            </m:rPr>
            <m:t>)</m:t>
          </m:r>
          <m:r>
            <m:rPr>
              <m:sty m:val="p"/>
            </m:rPr>
            <m:t>+</m:t>
          </m:r>
          <m:r>
            <m:t>f</m:t>
          </m:r>
          <m:r>
            <m:rPr>
              <m:sty m:val="p"/>
            </m:rPr>
            <m:t>(</m:t>
          </m:r>
          <m:sSub>
            <m:e>
              <m:r>
                <m:t>T</m:t>
              </m:r>
            </m:e>
            <m:sub>
              <m:r>
                <m:t>i</m:t>
              </m:r>
              <m:r>
                <m:t>t</m:t>
              </m:r>
            </m:sub>
          </m:sSub>
          <m:r>
            <m:rPr>
              <m:sty m:val="p"/>
            </m:rPr>
            <m:t>)</m:t>
          </m:r>
          <m:r>
            <m:rPr>
              <m:sty m:val="p"/>
            </m:rPr>
            <m:t>+</m:t>
          </m:r>
          <m:r>
            <m:t>f</m:t>
          </m:r>
          <m:r>
            <m:rPr>
              <m:sty m:val="p"/>
            </m:rPr>
            <m:t>(</m:t>
          </m:r>
          <m:sSub>
            <m:e>
              <m:r>
                <m:t>L</m:t>
              </m:r>
            </m:e>
            <m:sub>
              <m:r>
                <m:t>i</m:t>
              </m:r>
              <m:r>
                <m:t>t</m:t>
              </m:r>
            </m:sub>
          </m:sSub>
          <m:r>
            <m:rPr>
              <m:sty m:val="p"/>
            </m:rPr>
            <m:t>)</m:t>
          </m:r>
          <m:r>
            <m:rPr>
              <m:sty m:val="p"/>
            </m:rPr>
            <m:t>,</m:t>
          </m:r>
        </m:oMath>
      </m:oMathPara>
    </w:p>
    <w:p>
      <w:pPr>
        <w:pStyle w:val="FirstParagraph"/>
      </w:pPr>
      <w:r>
        <w:t xml:space="preserve">where</w:t>
      </w:r>
      <w:r>
        <w:t xml:space="preserve"> </w:t>
      </w:r>
      <m:oMath>
        <m:r>
          <m:t>R</m:t>
        </m:r>
        <m:r>
          <m:t>H</m:t>
        </m:r>
      </m:oMath>
      <w:r>
        <w:t xml:space="preserve"> </w:t>
      </w:r>
      <w:r>
        <w:t xml:space="preserve">is standardized nightly mean relative humidity,</w:t>
      </w:r>
      <w:r>
        <w:t xml:space="preserve"> </w:t>
      </w:r>
      <m:oMath>
        <m:r>
          <m:t>T</m:t>
        </m:r>
      </m:oMath>
      <w:r>
        <w:t xml:space="preserve"> </w:t>
      </w:r>
      <w:r>
        <w:t xml:space="preserve">is standardized nightly mean temperature, and</w:t>
      </w:r>
      <w:r>
        <w:t xml:space="preserve"> </w:t>
      </w:r>
      <m:oMath>
        <m:r>
          <m:t>L</m:t>
        </m:r>
      </m:oMath>
      <w:r>
        <w:t xml:space="preserve"> </w:t>
      </w:r>
      <w:r>
        <w:t xml:space="preserve">is lunar phase.</w:t>
      </w:r>
    </w:p>
    <w:p>
      <w:pPr>
        <w:pStyle w:val="BodyText"/>
      </w:pPr>
      <w:r>
        <w:t xml:space="preserve">Smooth terms were estimated using the default thin-plate regression spline basis in</w:t>
      </w:r>
      <w:r>
        <w:t xml:space="preserve"> </w:t>
      </w:r>
      <w:r>
        <w:rPr>
          <w:rStyle w:val="VerbatimChar"/>
        </w:rPr>
        <w:t xml:space="preserve">brms</w:t>
      </w:r>
      <w:r>
        <w:t xml:space="preserve">/</w:t>
      </w:r>
      <w:r>
        <w:rPr>
          <w:rStyle w:val="VerbatimChar"/>
        </w:rPr>
        <w:t xml:space="preserve">mgcv</w:t>
      </w:r>
      <w:r>
        <w:t xml:space="preserve">, and site-specific seasonal trajectories were represented using a factor-smooth basis (</w:t>
      </w:r>
      <w:r>
        <w:rPr>
          <w:rStyle w:val="VerbatimChar"/>
        </w:rPr>
        <w:t xml:space="preserve">bs = "fs"</w:t>
      </w:r>
      <w:r>
        <w:t xml:space="preserve">). Because the factor smooth is fully penalized and represents site-level differences in the seasonal trajectory, we did not include an additional site random intercept.</w:t>
      </w:r>
    </w:p>
    <w:bookmarkEnd w:id="24"/>
    <w:bookmarkStart w:id="25" w:name="priors-computation-and-model-assessment"/>
    <w:p>
      <w:pPr>
        <w:pStyle w:val="Heading2"/>
      </w:pPr>
      <w:r>
        <w:t xml:space="preserve">Priors, computation, and model assessment</w:t>
      </w:r>
    </w:p>
    <w:p>
      <w:pPr>
        <w:pStyle w:val="FirstParagraph"/>
      </w:pPr>
      <w:r>
        <w:t xml:space="preserve">We used a weakly informative Normal(0, 10) prior for the intercept; smoothing parameters and the negative-binomial shape parameter used the regularizing defaults implemented by</w:t>
      </w:r>
      <w:r>
        <w:t xml:space="preserve"> </w:t>
      </w:r>
      <w:r>
        <w:rPr>
          <w:rStyle w:val="VerbatimChar"/>
        </w:rPr>
        <w:t xml:space="preserve">brms</w:t>
      </w:r>
      <w:r>
        <w:t xml:space="preserve"> </w:t>
      </w:r>
      <w:r>
        <w:t xml:space="preserve">(Bürkner, 2017)</w:t>
      </w:r>
      <w:r>
        <w:t xml:space="preserve">. Models were estimated using Hamiltonian Monte Carlo, with four chains of 4,000 iterations, including 1,000 warmup iterations per chain, yielding 12,000 post-warmup draws. Sampling used</w:t>
      </w:r>
      <w:r>
        <w:t xml:space="preserve"> </w:t>
      </w:r>
      <w:r>
        <w:rPr>
          <w:rStyle w:val="VerbatimChar"/>
        </w:rPr>
        <w:t xml:space="preserve">adapt_delta = 0.99</w:t>
      </w:r>
      <w:r>
        <w:t xml:space="preserve"> </w:t>
      </w:r>
      <w:r>
        <w:t xml:space="preserve">and a maximum tree depth of 12.</w:t>
      </w:r>
    </w:p>
    <w:p>
      <w:pPr>
        <w:pStyle w:val="BodyText"/>
      </w:pPr>
      <w:r>
        <w:t xml:space="preserve">We assessed convergence and sampling quality using</w:t>
      </w:r>
      <w:r>
        <w:t xml:space="preserve"> </w:t>
      </w:r>
      <m:oMath>
        <m:acc>
          <m:accPr>
            <m:chr m:val="̂"/>
          </m:accPr>
          <m:e>
            <m:r>
              <m:t>R</m:t>
            </m:r>
          </m:e>
        </m:acc>
      </m:oMath>
      <w:r>
        <w:t xml:space="preserve">, bulk and tail effective sample sizes, divergent transitions, maximum-tree-depth warnings, and energy diagnostics. Model adequacy was evaluated using posterior predictive checks of the response distribution and site-level variation, including the mean, standard deviation, and frequency of zero-activity nights. Because sampling was interrupted at some sites by detector failures, residual temporal dependence was evaluated using calendar-day rather than row-order lags so that gaps in sampling were not treated as consecutive observations. Additional temporal structure was considered only when residual dependence indicated lack of fit relevant to the ecological estimands.</w:t>
      </w:r>
    </w:p>
    <w:p>
      <w:pPr>
        <w:pStyle w:val="BodyText"/>
      </w:pPr>
      <w:r>
        <w:t xml:space="preserve">Posterior summaries are reported as medians with 89% credible intervals. Environmental response curves were generated by varying the focal environmental predictor across its observed range, averaging predictions over the observed distribution of sampled days of year and weighting sites equally, while holding the remaining environmental predictors at their reference values. Environmental contrasts were calculated between the 10th and 90th percentiles of observed relative humidity and temperature and between new moon (0) and full moon (1) for lunar phase. Seasonal predictions were averaged equally across sites. Predictions from the total seasonal model represent the overall seasonal pattern, whereas predictions from the conditional environmental model represent seasonal structure after accounting for nightly temperature, relative humidity, and lunar phase.</w:t>
      </w:r>
    </w:p>
    <w:p>
      <w:pPr>
        <w:pStyle w:val="BodyText"/>
      </w:pPr>
      <w:r>
        <w:t xml:space="preserve">All analyses were conducted in R</w:t>
      </w:r>
      <w:r>
        <w:t xml:space="preserve"> </w:t>
      </w:r>
      <w:r>
        <w:t xml:space="preserve">(R Core Team, 2026)</w:t>
      </w:r>
      <w:r>
        <w:t xml:space="preserve">. Bayesian generalized additive</w:t>
      </w:r>
      <w:r>
        <w:t xml:space="preserve"> </w:t>
      </w:r>
      <w:r>
        <w:t xml:space="preserve">models were fit with</w:t>
      </w:r>
      <w:r>
        <w:t xml:space="preserve"> </w:t>
      </w:r>
      <w:r>
        <w:rPr>
          <w:rStyle w:val="VerbatimChar"/>
        </w:rPr>
        <w:t xml:space="preserve">brms</w:t>
      </w:r>
      <w:r>
        <w:t xml:space="preserve"> </w:t>
      </w:r>
      <w:r>
        <w:t xml:space="preserve">(Bürkner, 2017)</w:t>
      </w:r>
      <w:r>
        <w:t xml:space="preserve"> </w:t>
      </w:r>
      <w:r>
        <w:t xml:space="preserve">through</w:t>
      </w:r>
      <w:r>
        <w:t xml:space="preserve"> </w:t>
      </w:r>
      <w:r>
        <w:rPr>
          <w:rStyle w:val="VerbatimChar"/>
        </w:rPr>
        <w:t xml:space="preserve">cmdstanr</w:t>
      </w:r>
      <w:r>
        <w:t xml:space="preserve"> </w:t>
      </w:r>
      <w:r>
        <w:t xml:space="preserve">(Gabry et al., 2025)</w:t>
      </w:r>
      <w:r>
        <w:t xml:space="preserve">,</w:t>
      </w:r>
      <w:r>
        <w:t xml:space="preserve"> </w:t>
      </w:r>
      <w:r>
        <w:t xml:space="preserve">with spline bases implemented in</w:t>
      </w:r>
      <w:r>
        <w:t xml:space="preserve"> </w:t>
      </w:r>
      <w:r>
        <w:rPr>
          <w:rStyle w:val="VerbatimChar"/>
        </w:rPr>
        <w:t xml:space="preserve">mgcv</w:t>
      </w:r>
      <w:r>
        <w:t xml:space="preserve"> </w:t>
      </w:r>
      <w:r>
        <w:t xml:space="preserve">(Wood, 2011)</w:t>
      </w:r>
      <w:r>
        <w:t xml:space="preserve">. Posterior summaries</w:t>
      </w:r>
      <w:r>
        <w:t xml:space="preserve"> </w:t>
      </w:r>
      <w:r>
        <w:t xml:space="preserve">and predictions were generated using</w:t>
      </w:r>
      <w:r>
        <w:t xml:space="preserve"> </w:t>
      </w:r>
      <w:r>
        <w:rPr>
          <w:rStyle w:val="VerbatimChar"/>
        </w:rPr>
        <w:t xml:space="preserve">posterior</w:t>
      </w:r>
      <w:r>
        <w:t xml:space="preserve"> </w:t>
      </w:r>
      <w:r>
        <w:t xml:space="preserve">(Bürkner et al., 2026)</w:t>
      </w:r>
      <w:r>
        <w:t xml:space="preserve"> </w:t>
      </w:r>
      <w:r>
        <w:t xml:space="preserve">and</w:t>
      </w:r>
      <w:r>
        <w:t xml:space="preserve"> </w:t>
      </w:r>
      <w:r>
        <w:rPr>
          <w:rStyle w:val="VerbatimChar"/>
        </w:rPr>
        <w:t xml:space="preserve">tidybayes</w:t>
      </w:r>
      <w:r>
        <w:t xml:space="preserve"> </w:t>
      </w:r>
      <w:r>
        <w:t xml:space="preserve">(Kay, 2024)</w:t>
      </w:r>
      <w:r>
        <w:t xml:space="preserve">.</w:t>
      </w:r>
    </w:p>
    <w:bookmarkEnd w:id="25"/>
    <w:bookmarkEnd w:id="26"/>
    <w:bookmarkStart w:id="53" w:name="results"/>
    <w:p>
      <w:pPr>
        <w:pStyle w:val="Heading1"/>
      </w:pPr>
      <w:r>
        <w:t xml:space="preserve">Results</w:t>
      </w:r>
    </w:p>
    <w:bookmarkStart w:id="28" w:name="sampling-and-acoustic-activity"/>
    <w:p>
      <w:pPr>
        <w:pStyle w:val="Heading2"/>
      </w:pPr>
      <w:r>
        <w:t xml:space="preserve">Sampling and acoustic activity</w:t>
      </w:r>
    </w:p>
    <w:p>
      <w:pPr>
        <w:pStyle w:val="FirstParagraph"/>
      </w:pPr>
      <w:r>
        <w:t xml:space="preserve">The analysis comprised 1,056 sampled site-nights across eight sites and 179 sampling nights from late April through mid-October 2015 (</w:t>
      </w:r>
      <w:hyperlink w:anchor="tbl-study-summary">
        <w:r>
          <w:rPr>
            <w:rStyle w:val="Hyperlink"/>
          </w:rPr>
          <w:t xml:space="preserve">Table 1</w:t>
        </w:r>
      </w:hyperlink>
      <w:r>
        <w:t xml:space="preserve">). Nights without usable acoustic recordings were excluded as unsampled rather than treated as zero activity; sampled nights with no accepted bat detections were retained as legitimate zeroes. Sampling effort therefore varied among sites because of detector failures and other periods without usable acoustic data, ranging from 47 retained nights at BUL18 to 174 nights at the most intensively sampled sites.</w:t>
      </w:r>
    </w:p>
    <w:p>
      <w:pPr>
        <w:pStyle w:val="BodyText"/>
      </w:pPr>
      <w:r>
        <w:t xml:space="preserve">Across the retained site-nights, aggregate bat activity totaled 103,681 5-min detection intervals representing 17 species. Of these detections, 7,078 were assigned to the low-frequency group, 27,602 to the mid-frequency group, and 69,001 to the high-frequency group. Environmental conditions represented in the analysis spanned substantial variation in nightly temperature, relative humidity, and lunar phase (</w:t>
      </w:r>
      <w:hyperlink w:anchor="tbl-study-summary">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tbl-study-summary"/>
          <w:p>
            <w:pPr>
              <w:jc w:val="center"/>
            </w:pPr>
            <w:pPr>
              <w:jc w:val="left"/>
              <w:spacing w:before="200"/>
              <w:pStyle w:val="ImageCaption"/>
            </w:pPr>
            <w:r>
              <w:t xml:space="preserve">Table 1: Summary of the acoustic sampling design and environmental conditions represented in the analysis. Environmental ranges are based on the site-night observations retained for modeling.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Characteristic</w:t>
                  </w:r>
                </w:p>
              </w:tc>
              <w:tc>
                <w:tcPr/>
                <w:p>
                  <w:pPr>
                    <w:pStyle w:val="Compact"/>
                    <w:jc w:val="center"/>
                    <w:jc w:val="center"/>
                  </w:pPr>
                  <w:r>
                    <w:t xml:space="preserve">Value</w:t>
                  </w:r>
                </w:p>
              </w:tc>
            </w:tr>
            <w:tr>
              <w:tc>
                <w:tcPr/>
                <w:p>
                  <w:pPr>
                    <w:pStyle w:val="Compact"/>
                    <w:jc w:val="left"/>
                    <w:jc w:val="center"/>
                  </w:pPr>
                  <w:r>
                    <w:t xml:space="preserve">Sites</w:t>
                  </w:r>
                </w:p>
              </w:tc>
              <w:tc>
                <w:tcPr/>
                <w:p>
                  <w:pPr>
                    <w:pStyle w:val="Compact"/>
                    <w:jc w:val="center"/>
                    <w:jc w:val="center"/>
                  </w:pPr>
                  <w:r>
                    <w:t xml:space="preserve">8</w:t>
                  </w:r>
                </w:p>
              </w:tc>
            </w:tr>
            <w:tr>
              <w:tc>
                <w:tcPr/>
                <w:p>
                  <w:pPr>
                    <w:pStyle w:val="Compact"/>
                    <w:jc w:val="left"/>
                    <w:jc w:val="center"/>
                  </w:pPr>
                  <w:r>
                    <w:t xml:space="preserve">Sampling nights</w:t>
                  </w:r>
                </w:p>
              </w:tc>
              <w:tc>
                <w:tcPr/>
                <w:p>
                  <w:pPr>
                    <w:pStyle w:val="Compact"/>
                    <w:jc w:val="center"/>
                    <w:jc w:val="center"/>
                  </w:pPr>
                  <w:r>
                    <w:t xml:space="preserve">179</w:t>
                  </w:r>
                </w:p>
              </w:tc>
            </w:tr>
            <w:tr>
              <w:tc>
                <w:tcPr/>
                <w:p>
                  <w:pPr>
                    <w:pStyle w:val="Compact"/>
                    <w:jc w:val="left"/>
                    <w:jc w:val="center"/>
                  </w:pPr>
                  <w:r>
                    <w:t xml:space="preserve">Site-nights</w:t>
                  </w:r>
                </w:p>
              </w:tc>
              <w:tc>
                <w:tcPr/>
                <w:p>
                  <w:pPr>
                    <w:pStyle w:val="Compact"/>
                    <w:jc w:val="center"/>
                    <w:jc w:val="center"/>
                  </w:pPr>
                  <w:r>
                    <w:t xml:space="preserve">1,056</w:t>
                  </w:r>
                </w:p>
              </w:tc>
            </w:tr>
            <w:tr>
              <w:tc>
                <w:tcPr/>
                <w:p>
                  <w:pPr>
                    <w:pStyle w:val="Compact"/>
                    <w:jc w:val="left"/>
                    <w:jc w:val="center"/>
                  </w:pPr>
                  <w:r>
                    <w:t xml:space="preserve">Bat species</w:t>
                  </w:r>
                </w:p>
              </w:tc>
              <w:tc>
                <w:tcPr/>
                <w:p>
                  <w:pPr>
                    <w:pStyle w:val="Compact"/>
                    <w:jc w:val="center"/>
                    <w:jc w:val="center"/>
                  </w:pPr>
                  <w:r>
                    <w:t xml:space="preserve">17</w:t>
                  </w:r>
                </w:p>
              </w:tc>
            </w:tr>
            <w:tr>
              <w:tc>
                <w:tcPr/>
                <w:p>
                  <w:pPr>
                    <w:pStyle w:val="Compact"/>
                    <w:jc w:val="left"/>
                    <w:jc w:val="center"/>
                  </w:pPr>
                  <w:r>
                    <w:t xml:space="preserve">Sampling period</w:t>
                  </w:r>
                </w:p>
              </w:tc>
              <w:tc>
                <w:tcPr/>
                <w:p>
                  <w:pPr>
                    <w:pStyle w:val="Compact"/>
                    <w:jc w:val="center"/>
                    <w:jc w:val="center"/>
                  </w:pPr>
                  <w:r>
                    <w:t xml:space="preserve">April 22–October 17</w:t>
                  </w:r>
                </w:p>
              </w:tc>
            </w:tr>
            <w:tr>
              <w:tc>
                <w:tcPr/>
                <w:p>
                  <w:pPr>
                    <w:pStyle w:val="Compact"/>
                    <w:jc w:val="left"/>
                    <w:jc w:val="center"/>
                  </w:pPr>
                  <w:r>
                    <w:t xml:space="preserve">Day of year</w:t>
                  </w:r>
                </w:p>
              </w:tc>
              <w:tc>
                <w:tcPr/>
                <w:p>
                  <w:pPr>
                    <w:pStyle w:val="Compact"/>
                    <w:jc w:val="center"/>
                    <w:jc w:val="center"/>
                  </w:pPr>
                  <w:r>
                    <w:t xml:space="preserve">112–290</w:t>
                  </w:r>
                </w:p>
              </w:tc>
            </w:tr>
            <w:tr>
              <w:tc>
                <w:tcPr/>
                <w:p>
                  <w:pPr>
                    <w:pStyle w:val="Compact"/>
                    <w:jc w:val="left"/>
                    <w:jc w:val="center"/>
                  </w:pPr>
                  <w:r>
                    <w:t xml:space="preserve">Nightly mean relative humidity (%)</w:t>
                  </w:r>
                </w:p>
              </w:tc>
              <w:tc>
                <w:tcPr/>
                <w:p>
                  <w:pPr>
                    <w:pStyle w:val="Compact"/>
                    <w:jc w:val="center"/>
                    <w:jc w:val="center"/>
                  </w:pPr>
                  <w:r>
                    <w:t xml:space="preserve">33.4–94.4</w:t>
                  </w:r>
                </w:p>
              </w:tc>
            </w:tr>
            <w:tr>
              <w:tc>
                <w:tcPr/>
                <w:p>
                  <w:pPr>
                    <w:pStyle w:val="Compact"/>
                    <w:jc w:val="left"/>
                    <w:jc w:val="center"/>
                  </w:pPr>
                  <w:r>
                    <w:t xml:space="preserve">Nightly mean temperature (°C)</w:t>
                  </w:r>
                </w:p>
              </w:tc>
              <w:tc>
                <w:tcPr/>
                <w:p>
                  <w:pPr>
                    <w:pStyle w:val="Compact"/>
                    <w:jc w:val="center"/>
                    <w:jc w:val="center"/>
                  </w:pPr>
                  <w:r>
                    <w:t xml:space="preserve">-0.1–24.2</w:t>
                  </w:r>
                </w:p>
              </w:tc>
            </w:tr>
            <w:tr>
              <w:tc>
                <w:tcPr/>
                <w:p>
                  <w:pPr>
                    <w:pStyle w:val="Compact"/>
                    <w:jc w:val="left"/>
                    <w:jc w:val="center"/>
                  </w:pPr>
                  <w:r>
                    <w:t xml:space="preserve">Lunar phase</w:t>
                  </w:r>
                </w:p>
              </w:tc>
              <w:tc>
                <w:tcPr/>
                <w:p>
                  <w:pPr>
                    <w:pStyle w:val="Compact"/>
                    <w:jc w:val="center"/>
                    <w:jc w:val="center"/>
                  </w:pPr>
                  <w:r>
                    <w:t xml:space="preserve">0.00–1.00</w:t>
                  </w:r>
                </w:p>
              </w:tc>
            </w:tr>
          </w:tbl>
          <w:bookmarkEnd w:id="27"/>
          <w:p/>
        </w:tc>
      </w:tr>
    </w:tbl>
    <w:bookmarkEnd w:id="28"/>
    <w:bookmarkStart w:id="29" w:name="model-adequacy-and-diagnostics"/>
    <w:p>
      <w:pPr>
        <w:pStyle w:val="Heading2"/>
      </w:pPr>
      <w:r>
        <w:t xml:space="preserve">Model adequacy and diagnostics</w:t>
      </w:r>
    </w:p>
    <w:p>
      <w:pPr>
        <w:pStyle w:val="FirstParagraph"/>
      </w:pPr>
      <w:r>
        <w:t xml:space="preserve">The models represented site-specific seasonal phenology using penalized factor-smooth interactions between day of year and site. In the aggregate conditional model, residual autocorrelation declined from 0.379 at a one-day lag to 0.208 at two days and 0.168 at three days, approached zero by four days, and remained weak at longer lags. Remaining temporal dependence was therefore concentrated primarily at the shortest lags.</w:t>
      </w:r>
    </w:p>
    <w:p>
      <w:pPr>
        <w:pStyle w:val="BodyText"/>
      </w:pPr>
      <w:r>
        <w:t xml:space="preserve">MCMC diagnostics indicated satisfactory posterior sampling. All reported</w:t>
      </w:r>
      <w:r>
        <w:t xml:space="preserve"> </w:t>
      </w:r>
      <m:oMath>
        <m:acc>
          <m:accPr>
            <m:chr m:val="̂"/>
          </m:accPr>
          <m:e>
            <m:r>
              <m:t>R</m:t>
            </m:r>
          </m:e>
        </m:acc>
      </m:oMath>
      <w:r>
        <w:t xml:space="preserve"> </w:t>
      </w:r>
      <w:r>
        <w:t xml:space="preserve">values were 1.00, with large bulk and tail effective sample sizes, and seven of 12,000 post-warmup transitions in the aggregate conditional model reached the maximum tree depth of 12. Posterior predictive checks reproduced the overall distribution of nightly activity and site-specific mean activity well. Predictive variance was overestimated at BUC3, BUL11, and LBL5 and modestly underestimated at several other sites, but the principal seasonal, among-site, and distributional features relevant to the environmental contrasts were adequately represented. Detailed sampling diagnostics, posterior predictive checks, and residual temporal diagnostics are provided in the Supplementary Material.</w:t>
      </w:r>
    </w:p>
    <w:bookmarkEnd w:id="29"/>
    <w:bookmarkStart w:id="34" w:name="seasonal-activity"/>
    <w:p>
      <w:pPr>
        <w:pStyle w:val="Heading2"/>
      </w:pPr>
      <w:r>
        <w:t xml:space="preserve">Seasonal activity</w:t>
      </w:r>
    </w:p>
    <w:p>
      <w:pPr>
        <w:pStyle w:val="FirstParagraph"/>
      </w:pPr>
      <w:r>
        <w:t xml:space="preserve">Seasonal activity varied nonlinearly across the sampling period, and the inferred seasonal pattern changed substantially after accounting for nightly environmental conditions (</w:t>
      </w:r>
      <w:hyperlink w:anchor="fig-seasonality">
        <w:r>
          <w:rPr>
            <w:rStyle w:val="Hyperlink"/>
          </w:rPr>
          <w:t xml:space="preserve">Figure 3</w:t>
        </w:r>
      </w:hyperlink>
      <w:r>
        <w:t xml:space="preserve">). In the total seasonal model, activity averaged equally across sites declined through May, increased to a first summer maximum in June, declined in July, and increased again in early August before falling through September and October (</w:t>
      </w:r>
      <w:hyperlink w:anchor="fig-seasonality">
        <w:r>
          <w:rPr>
            <w:rStyle w:val="Hyperlink"/>
          </w:rPr>
          <w:t xml:space="preserve">Figure 3</w:t>
        </w:r>
      </w:hyperlink>
      <w:r>
        <w:rPr>
          <w:rStyle w:val="VerbatimChar"/>
        </w:rPr>
        <w:t xml:space="preserve">a</w:t>
      </w:r>
      <w:r>
        <w:t xml:space="preserve">). After conditioning on nightly temperature, relative humidity, and lunar phase, the seasonal trajectory was markedly different: activity was highest early in the sampling season, declined sharply from May into June, and remained comparatively low through most of the summer and autumn, with only modest increases in August and September (</w:t>
      </w:r>
      <w:hyperlink w:anchor="fig-seasonality">
        <w:r>
          <w:rPr>
            <w:rStyle w:val="Hyperlink"/>
          </w:rPr>
          <w:t xml:space="preserve">Figure 3</w:t>
        </w:r>
      </w:hyperlink>
      <w:r>
        <w:rPr>
          <w:rStyle w:val="VerbatimChar"/>
        </w:rPr>
        <w:t xml:space="preserve">b</w:t>
      </w:r>
      <w:r>
        <w:t xml:space="preserve">). Thus, much of the pronounced mid-summer structure in the total seasonal pattern was associated with seasonal variation in the measured environmental conditions, while the conditional day-of-year effect was dominated by elevated activity early in the sampling season. Seasonal phenology also differed substantially among sites in both the magnitude and timing of activity (</w:t>
      </w:r>
      <w:hyperlink w:anchor="fig-seasonality">
        <w:r>
          <w:rPr>
            <w:rStyle w:val="Hyperlink"/>
          </w:rPr>
          <w:t xml:space="preserve">Figure 3</w:t>
        </w:r>
      </w:hyperlink>
      <w:r>
        <w:rPr>
          <w:rStyle w:val="VerbatimChar"/>
        </w:rPr>
        <w:t xml:space="preserve">c</w:t>
      </w:r>
      <w:r>
        <w:t xml:space="preserve">), supporting the use of site-specific seasonal smooths rather than a single common seasonal trajectory.</w:t>
      </w:r>
    </w:p>
    <w:tbl>
      <w:tblPr>
        <w:tblStyle w:val="Table"/>
        <w:tblW w:type="pct" w:w="5000"/>
        <w:tblLayout w:type="fixed"/>
        <w:tblLook w:firstRow="0" w:lastRow="0" w:firstColumn="0" w:lastColumn="0" w:noHBand="0" w:noVBand="0" w:val="0000"/>
      </w:tblPr>
      <w:tblGrid>
        <w:gridCol w:w="7920"/>
      </w:tblGrid>
      <w:tr>
        <w:tc>
          <w:tcPr/>
          <w:bookmarkStart w:id="33" w:name="fig-seasonality"/>
          <w:p>
            <w:pPr>
              <w:pStyle w:val="Compact"/>
              <w:jc w:val="center"/>
            </w:pPr>
            <w:r>
              <w:drawing>
                <wp:inline>
                  <wp:extent cx="5334000" cy="2833687"/>
                  <wp:effectExtent b="0" l="0" r="0" t="0"/>
                  <wp:docPr descr="" title="" id="31" name="Picture"/>
                  <a:graphic>
                    <a:graphicData uri="http://schemas.openxmlformats.org/drawingml/2006/picture">
                      <pic:pic>
                        <pic:nvPicPr>
                          <pic:cNvPr descr="C:/Users/AHitch/Documents/Stillwater/BucksBats/figs/Figure3_seasonality.PNG" id="32" name="Picture"/>
                          <pic:cNvPicPr>
                            <a:picLocks noChangeArrowheads="1" noChangeAspect="1"/>
                          </pic:cNvPicPr>
                        </pic:nvPicPr>
                        <pic:blipFill>
                          <a:blip r:embed="rId30"/>
                          <a:stretch>
                            <a:fillRect/>
                          </a:stretch>
                        </pic:blipFill>
                        <pic:spPr bwMode="auto">
                          <a:xfrm>
                            <a:off x="0" y="0"/>
                            <a:ext cx="5334000" cy="2833687"/>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Seasonal variation in community-level bat acoustic activity across eight sites in the northern Sierra Nevada, California, April–October 2015. (a) Total seasonal pattern from the day-of-year model, shown as the posterior distribution of the equal-site averaged expected number of 5-min intervals per night in which a bat call occurred. (b) Conditional seasonal pattern from the environmental model after accounting for nightly mean temperature, relative humidity, and lunar phase; the curve is likewise averaged equally across sites. (c) Site-specific seasonal phenology from the total seasonal model. Thin gray lines show posterior median trajectories for individual sites; the black line and shaded bands show the equal-site averaged seasonal trajectory. In panels a and b, and for the average in panel c, lines indicate posterior medians and shaded bands indicate 50%, 80%, and 89% credible intervals from darkest to lightest.</w:t>
            </w:r>
          </w:p>
          <w:bookmarkEnd w:id="33"/>
        </w:tc>
      </w:tr>
    </w:tbl>
    <w:bookmarkEnd w:id="34"/>
    <w:bookmarkStart w:id="52" w:name="echolocation-frequency-groups"/>
    <w:p>
      <w:pPr>
        <w:pStyle w:val="Heading2"/>
      </w:pPr>
      <w:r>
        <w:t xml:space="preserve">Echolocation-frequency groups</w:t>
      </w:r>
    </w:p>
    <w:p>
      <w:pPr>
        <w:pStyle w:val="FirstParagraph"/>
      </w:pPr>
      <w:r>
        <w:t xml:space="preserve">Characteristic-frequency groups contributed very different amounts of total recorded activity. High-frequency species accounted for 69,001 detection intervals, compared with 27,602 for the mid-frequency group and 7,078 for the low-frequency group. Consequently, the aggregate community response was numerically dominated by high-frequency detections, although the frequency-stratified models allow the environmental responses of the three groups to be evaluated separately.</w:t>
      </w:r>
    </w:p>
    <w:bookmarkStart w:id="39" w:name="frequency-dependent-humidity-responses"/>
    <w:p>
      <w:pPr>
        <w:pStyle w:val="Heading3"/>
      </w:pPr>
      <w:r>
        <w:t xml:space="preserve">Frequency-dependent humidity responses</w:t>
      </w:r>
    </w:p>
    <w:p>
      <w:pPr>
        <w:pStyle w:val="FirstParagraph"/>
      </w:pPr>
      <w:r>
        <w:t xml:space="preserve">Relative humidity was associated with systematically different patterns of acoustic activity among frequency groups (</w:t>
      </w:r>
      <w:hyperlink w:anchor="fig-humidity">
        <w:r>
          <w:rPr>
            <w:rStyle w:val="Hyperlink"/>
          </w:rPr>
          <w:t xml:space="preserve">Figure 4</w:t>
        </w:r>
      </w:hyperlink>
      <w:r>
        <w:t xml:space="preserve">). Across the central 80% of observed nightly relative humidity conditions (49.4–84.6%), expected activity declined substantially for both the mid- and high-frequency groups, with the strongest decline occurring in the high-frequency group. For high-frequency bats, expected activity decreased from 52.4 to 29.0 5-min detection intervals per night, corresponding to a median ratio of 0.55 (89% CrI: 0.50–0.62) and a posterior probability of a decrease of 1.00. Mid-frequency activity declined from 19.8 to 13.7 intervals per night over the same humidity range (median ratio = 0.69, 89% CrI: 0.58–0.83; posterior probability of decrease &gt; 0.999). In contrast, low-frequency activity showed little evidence of an overall decline, increasing slightly from 4.32 to 5.32 intervals per night (median ratio = 1.23, 89% CrI: 0.97–1.56; posterior probability of decrease = 0.083). Response curves were nonlinear, particularly for the mid-frequency group, but declines became pronounced at high relative humidity for both the mid- and high-frequency groups, whereas activity of the low-frequency group remained comparatively insensitive across the observed humidity gradient.</w:t>
      </w:r>
    </w:p>
    <w:tbl>
      <w:tblPr>
        <w:tblStyle w:val="Table"/>
        <w:tblW w:type="pct" w:w="5000"/>
        <w:tblLayout w:type="fixed"/>
        <w:tblLook w:firstRow="0" w:lastRow="0" w:firstColumn="0" w:lastColumn="0" w:noHBand="0" w:noVBand="0" w:val="0000"/>
      </w:tblPr>
      <w:tblGrid>
        <w:gridCol w:w="7920"/>
      </w:tblGrid>
      <w:tr>
        <w:tc>
          <w:tcPr/>
          <w:bookmarkStart w:id="38" w:name="fig-humidity"/>
          <w:p>
            <w:pPr>
              <w:pStyle w:val="Compact"/>
              <w:jc w:val="center"/>
            </w:pPr>
            <w:r>
              <w:drawing>
                <wp:inline>
                  <wp:extent cx="5334000" cy="1833562"/>
                  <wp:effectExtent b="0" l="0" r="0" t="0"/>
                  <wp:docPr descr="" title="" id="36" name="Picture"/>
                  <a:graphic>
                    <a:graphicData uri="http://schemas.openxmlformats.org/drawingml/2006/picture">
                      <pic:pic>
                        <pic:nvPicPr>
                          <pic:cNvPr descr="C:/Users/AHitch/Documents/Stillwater/BucksBats/figs/Figure4_humidity.PNG" id="37" name="Picture"/>
                          <pic:cNvPicPr>
                            <a:picLocks noChangeArrowheads="1" noChangeAspect="1"/>
                          </pic:cNvPicPr>
                        </pic:nvPicPr>
                        <pic:blipFill>
                          <a:blip r:embed="rId35"/>
                          <a:stretch>
                            <a:fillRect/>
                          </a:stretch>
                        </pic:blipFill>
                        <pic:spPr bwMode="auto">
                          <a:xfrm>
                            <a:off x="0" y="0"/>
                            <a:ext cx="5334000" cy="183356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Conditional relationships between nightly mean relative humidity and bat acoustic activity for (a) low-, (b) mid-, and (c) high-frequency echolocation groups. Lines show posterior median expected numbers of 5-min detection intervals per night, with inner and outer ribbons representing 50% and 89% credible intervals, respectively. Predictions were generated across the observed relative-humidity range and averaged over the observed distribution of sampled days of year, with each site weighted equally; temperature and lunar phase were held at their reference values. Y-axis scales differ among panels to emphasize response shape and uncertainty within each frequency group.</w:t>
            </w:r>
          </w:p>
          <w:bookmarkEnd w:id="38"/>
        </w:tc>
      </w:tr>
    </w:tbl>
    <w:bookmarkEnd w:id="39"/>
    <w:bookmarkStart w:id="44" w:name="Xc226c86840b44ba4259ee0a683b513f11a024e3"/>
    <w:p>
      <w:pPr>
        <w:pStyle w:val="Heading3"/>
      </w:pPr>
      <w:r>
        <w:t xml:space="preserve">Temperature responses among frequency groups</w:t>
      </w:r>
    </w:p>
    <w:p>
      <w:pPr>
        <w:pStyle w:val="FirstParagraph"/>
      </w:pPr>
      <w:r>
        <w:t xml:space="preserve">Temperature was positively associated with bat activity across all three frequency groups over the well-sampled portion of the observed temperature gradient, although response shape differed among groups (</w:t>
      </w:r>
      <w:hyperlink w:anchor="fig-temperature">
        <w:r>
          <w:rPr>
            <w:rStyle w:val="Hyperlink"/>
          </w:rPr>
          <w:t xml:space="preserve">Figure 5</w:t>
        </w:r>
      </w:hyperlink>
      <w:r>
        <w:t xml:space="preserve">). Across the central 80% of observed nightly temperatures (6.07–17.3</w:t>
      </w:r>
      <w:r>
        <w:t xml:space="preserve"> </w:t>
      </w:r>
      <m:oMath>
        <m:sSup>
          <m:e>
            <m:r>
              <m:t>​</m:t>
            </m:r>
          </m:e>
          <m:sup>
            <m:r>
              <m:rPr>
                <m:sty m:val="p"/>
              </m:rPr>
              <m:t>∘</m:t>
            </m:r>
          </m:sup>
        </m:sSup>
      </m:oMath>
      <w:r>
        <w:t xml:space="preserve">C), predicted activity increased from 1.52 to 13.7 intervals per night for the low-frequency group, from 3.48 to 69.9 intervals per night for the mid-frequency group, and from 33.9 to 68.3 intervals per night for the high-frequency group. The corresponding median increases were 12.2 (89% CrI: 9.50–15.5), 66.4 (54.4–81.0), and 34.3 (26.7–42.4) intervals per night, respectively, with posterior probability of an increase equal to 1.00 for each group. Low- and mid-frequency activity continued to increase toward the warm end of the observed gradient, whereas high-frequency activity increased through most of the well-sampled temperature range before leveling off and declining at warmer temperatures. Across posterior draws, the median temperature associated with maximum high-frequency activity was 18.8</w:t>
      </w:r>
      <w:r>
        <w:t xml:space="preserve"> </w:t>
      </w:r>
      <m:oMath>
        <m:sSup>
          <m:e>
            <m:r>
              <m:t>​</m:t>
            </m:r>
          </m:e>
          <m:sup>
            <m:r>
              <m:rPr>
                <m:sty m:val="p"/>
              </m:rPr>
              <m:t>∘</m:t>
            </m:r>
          </m:sup>
        </m:sSup>
      </m:oMath>
      <w:r>
        <w:t xml:space="preserve">C (89% CrI: 17.3–24.2</w:t>
      </w:r>
      <w:r>
        <w:t xml:space="preserve"> </w:t>
      </w:r>
      <m:oMath>
        <m:sSup>
          <m:e>
            <m:r>
              <m:t>​</m:t>
            </m:r>
          </m:e>
          <m:sup>
            <m:r>
              <m:rPr>
                <m:sty m:val="p"/>
              </m:rPr>
              <m:t>∘</m:t>
            </m:r>
          </m:sup>
        </m:sSup>
      </m:oMath>
      <w:r>
        <w:t xml:space="preserve">C); 16.9% of posterior curves placed the maximum at the upper boundary of the observed temperature range, indicating greater uncertainty in the shape of the response at the warmest temperatures.</w:t>
      </w:r>
    </w:p>
    <w:tbl>
      <w:tblPr>
        <w:tblStyle w:val="Table"/>
        <w:tblW w:type="pct" w:w="5000"/>
        <w:tblLayout w:type="fixed"/>
        <w:tblLook w:firstRow="0" w:lastRow="0" w:firstColumn="0" w:lastColumn="0" w:noHBand="0" w:noVBand="0" w:val="0000"/>
      </w:tblPr>
      <w:tblGrid>
        <w:gridCol w:w="7920"/>
      </w:tblGrid>
      <w:tr>
        <w:tc>
          <w:tcPr/>
          <w:bookmarkStart w:id="43" w:name="fig-temperature"/>
          <w:p>
            <w:pPr>
              <w:pStyle w:val="Compact"/>
              <w:jc w:val="center"/>
            </w:pPr>
            <w:r>
              <w:drawing>
                <wp:inline>
                  <wp:extent cx="5334000" cy="1833562"/>
                  <wp:effectExtent b="0" l="0" r="0" t="0"/>
                  <wp:docPr descr="" title="" id="41" name="Picture"/>
                  <a:graphic>
                    <a:graphicData uri="http://schemas.openxmlformats.org/drawingml/2006/picture">
                      <pic:pic>
                        <pic:nvPicPr>
                          <pic:cNvPr descr="C:/Users/AHitch/Documents/Stillwater/BucksBats/figs/Figure5_temperature.PNG" id="42" name="Picture"/>
                          <pic:cNvPicPr>
                            <a:picLocks noChangeArrowheads="1" noChangeAspect="1"/>
                          </pic:cNvPicPr>
                        </pic:nvPicPr>
                        <pic:blipFill>
                          <a:blip r:embed="rId40"/>
                          <a:stretch>
                            <a:fillRect/>
                          </a:stretch>
                        </pic:blipFill>
                        <pic:spPr bwMode="auto">
                          <a:xfrm>
                            <a:off x="0" y="0"/>
                            <a:ext cx="5334000" cy="183356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Conditional relationships between nightly mean temperature and bat acoustic activity for (a) low-frequency, (b) mid-frequency, and (c) high-frequency echolocation groups at eight sites in the northern Sierra Nevada, California. Predictions were generated across the observed temperature range and averaged over the observed distribution of sampled days of year, with each site weighted equally; relative humidity and lunar phase were held at their reference values. Lines show posterior medians and shaded ribbons show 50%, 80%, and 89% credible intervals (darkest to lightest). Y-axis scales differ among panels to emphasize differences in response shape among frequency groups.</w:t>
            </w:r>
          </w:p>
          <w:bookmarkEnd w:id="43"/>
        </w:tc>
      </w:tr>
    </w:tbl>
    <w:bookmarkEnd w:id="44"/>
    <w:bookmarkStart w:id="49" w:name="Xea6f2169d08498828e3ac63e19aa80c8019b52c"/>
    <w:p>
      <w:pPr>
        <w:pStyle w:val="Heading3"/>
      </w:pPr>
      <w:r>
        <w:t xml:space="preserve">Lunar-phase responses among frequency groups</w:t>
      </w:r>
    </w:p>
    <w:p>
      <w:pPr>
        <w:pStyle w:val="FirstParagraph"/>
      </w:pPr>
      <w:r>
        <w:t xml:space="preserve">Associations between lunar phase and bat acoustic activity differed among frequency groups (</w:t>
      </w:r>
      <w:hyperlink w:anchor="fig-lunar">
        <w:r>
          <w:rPr>
            <w:rStyle w:val="Hyperlink"/>
          </w:rPr>
          <w:t xml:space="preserve">Figure 6</w:t>
        </w:r>
      </w:hyperlink>
      <w:r>
        <w:t xml:space="preserve">). High-frequency activity increased from new moon toward full moon, with expected activity increasing by 10.4 5-min detection intervals per night between the two endpoints (89% CrI: 7.02–14.4). This corresponded to a 1.28-fold increase in expected activity (89% CrI: 1.18–1.39), with essentially all posterior draws supporting an increase. Low-frequency activity showed weaker evidence of a response in the opposite direction, declining by a median of 0.92 intervals per night from new moon to full moon (89% CrI: −2.06–0.25; posterior probability of a decrease = 0.898). Mid-frequency activity exhibited a nonlinear relationship with lunar phase, but the overall new- to full-moon contrast was comparatively small and uncertain (median difference = 1.81 intervals per night, 89% CrI: −1.00–4.80; posterior probability of an increase = 0.850). Thus, the clearest lunar-phase response occurred among high-frequency bats, for which activity was higher toward the full-moon end of the lunar cycle.</w:t>
      </w:r>
    </w:p>
    <w:tbl>
      <w:tblPr>
        <w:tblStyle w:val="Table"/>
        <w:tblW w:type="pct" w:w="5000"/>
        <w:tblLayout w:type="fixed"/>
        <w:tblLook w:firstRow="0" w:lastRow="0" w:firstColumn="0" w:lastColumn="0" w:noHBand="0" w:noVBand="0" w:val="0000"/>
      </w:tblPr>
      <w:tblGrid>
        <w:gridCol w:w="7920"/>
      </w:tblGrid>
      <w:tr>
        <w:tc>
          <w:tcPr/>
          <w:bookmarkStart w:id="48" w:name="fig-lunar"/>
          <w:p>
            <w:pPr>
              <w:pStyle w:val="Compact"/>
              <w:jc w:val="center"/>
            </w:pPr>
            <w:r>
              <w:drawing>
                <wp:inline>
                  <wp:extent cx="5334000" cy="1833562"/>
                  <wp:effectExtent b="0" l="0" r="0" t="0"/>
                  <wp:docPr descr="" title="" id="46" name="Picture"/>
                  <a:graphic>
                    <a:graphicData uri="http://schemas.openxmlformats.org/drawingml/2006/picture">
                      <pic:pic>
                        <pic:nvPicPr>
                          <pic:cNvPr descr="C:/Users/AHitch/Documents/Stillwater/BucksBats/figs/Figure6_lunar.PNG" id="47" name="Picture"/>
                          <pic:cNvPicPr>
                            <a:picLocks noChangeArrowheads="1" noChangeAspect="1"/>
                          </pic:cNvPicPr>
                        </pic:nvPicPr>
                        <pic:blipFill>
                          <a:blip r:embed="rId45"/>
                          <a:stretch>
                            <a:fillRect/>
                          </a:stretch>
                        </pic:blipFill>
                        <pic:spPr bwMode="auto">
                          <a:xfrm>
                            <a:off x="0" y="0"/>
                            <a:ext cx="5334000" cy="183356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Conditional relationships between lunar phase and bat acoustic activity for (a) low-, (b) mid-, and (c) high-frequency echolocation groups. Lunar phase is represented from 0 (new moon) to 1 (full moon). Lines show posterior median expected numbers of 5-min detection intervals per night, with inner and outer ribbons representing 50% and 89% credible intervals, respectively. Predictions were generated across the observed lunar-phase range and averaged over the observed distribution of sampled days of year, with each site weighted equally; temperature and relative humidity were held at their reference values. Y-axis scales differ among panels to emphasize response shape and uncertainty within each frequency group.</w:t>
            </w:r>
          </w:p>
          <w:bookmarkEnd w:id="48"/>
        </w:tc>
      </w:tr>
    </w:tbl>
    <w:bookmarkEnd w:id="49"/>
    <w:bookmarkStart w:id="51" w:name="environmental-contrasts"/>
    <w:p>
      <w:pPr>
        <w:pStyle w:val="Heading3"/>
      </w:pPr>
      <w:r>
        <w:t xml:space="preserve">Environmental contrasts</w:t>
      </w:r>
    </w:p>
    <w:p>
      <w:pPr>
        <w:pStyle w:val="FirstParagraph"/>
      </w:pPr>
      <w:r>
        <w:t xml:space="preserve">Posterior contrasts summarized the differing environmental responses among frequency groups (</w:t>
      </w:r>
      <w:hyperlink w:anchor="tbl-environmental-contrasts">
        <w:r>
          <w:rPr>
            <w:rStyle w:val="Hyperlink"/>
          </w:rPr>
          <w:t xml:space="preserve">Table 2</w:t>
        </w:r>
      </w:hyperlink>
      <w:r>
        <w:t xml:space="preserve">). Increasing temperature from the 10th to the 90th percentile of observed nightly conditions was associated with higher predicted activity in all three groups, although the proportional increase was substantially larger for the low- and mid-frequency groups than for the high-frequency group. In contrast, increasing relative humidity over the same portion of its observed distribution was associated with pronounced declines in mid- and high-frequency activity, whereas the low-frequency response was comparatively weak. Lunar phase was associated with smaller and less consistent differences across groups, except for the high-frequency group, for which predicted activity was higher under full- than new-moon conditions.</w:t>
      </w:r>
    </w:p>
    <w:p>
      <w:pPr>
        <w:sectPr>
          <w:type w:val="nextPage"/>
          <w:pgSz w:w="12240" w:h="15840"/>
        </w:sectPr>
      </w:pPr>
    </w:p>
    <w:tbl>
      <w:tblPr>
        <w:tblStyle w:val="Table"/>
        <w:tblW w:type="pct" w:w="5000"/>
        <w:tblLayout w:type="fixed"/>
        <w:tblLook w:firstRow="0" w:lastRow="0" w:firstColumn="0" w:lastColumn="0" w:noHBand="0" w:noVBand="0" w:val="0000"/>
      </w:tblPr>
      <w:tblGrid>
        <w:gridCol w:w="7920"/>
      </w:tblGrid>
      <w:tr>
        <w:tc>
          <w:tcPr/>
          <w:bookmarkStart w:id="50" w:name="tbl-environmental-contrasts"/>
          <w:p>
            <w:pPr>
              <w:jc w:val="center"/>
            </w:pPr>
            <w:pPr>
              <w:jc w:val="left"/>
              <w:spacing w:before="200"/>
              <w:pStyle w:val="ImageCaption"/>
            </w:pPr>
            <w:r>
              <w:t xml:space="preserve">Table 2: Posterior contrasts in expected nightly bat activity across environmental gradients for low-, mid-, and high-frequency echolocation groups. Temperature and relative-humidity contrasts compare predictions at the 10th and 90th percentiles of the observed covariate distributions; lunar contrasts compare new moon (0) with full moon (1). Differences and ratios are posterior medians with 89% credible intervals. P(Δ &gt; 0) is the posterior probability that predicted activity at the upper endpoint exceeds predicted activity at the lower endpoint. Predictions are conditional on the remaining covariates in the full environmental model.</w:t>
            </w:r>
          </w:p>
          <w:tbl>
            <w:tblPr>
              <w:tblStyle w:val="Table"/>
              <w:tblW w:type="pct" w:w="5000"/>
              <w:tblLayout w:type="fixed"/>
              <w:tblLook w:firstRow="1" w:lastRow="0" w:firstColumn="0" w:lastColumn="0" w:noHBand="0" w:noVBand="0" w:val="0020"/>
            </w:tblPr>
            <w:tblGrid>
              <w:gridCol w:w="1033"/>
              <w:gridCol w:w="918"/>
              <w:gridCol w:w="1205"/>
              <w:gridCol w:w="803"/>
              <w:gridCol w:w="860"/>
              <w:gridCol w:w="1262"/>
              <w:gridCol w:w="1262"/>
              <w:gridCol w:w="573"/>
            </w:tblGrid>
            <w:tr>
              <w:trPr>
                <w:tblHeader w:val="on"/>
              </w:trPr>
              <w:tc>
                <w:tcPr/>
                <w:p>
                  <w:pPr>
                    <w:pStyle w:val="Compact"/>
                    <w:jc w:val="left"/>
                    <w:jc w:val="center"/>
                  </w:pPr>
                  <w:r>
                    <w:t xml:space="preserve">Predictor</w:t>
                  </w:r>
                </w:p>
              </w:tc>
              <w:tc>
                <w:tcPr/>
                <w:p>
                  <w:pPr>
                    <w:pStyle w:val="Compact"/>
                    <w:jc w:val="left"/>
                    <w:jc w:val="center"/>
                  </w:pPr>
                  <w:r>
                    <w:t xml:space="preserve">Frequency group</w:t>
                  </w:r>
                </w:p>
              </w:tc>
              <w:tc>
                <w:tcPr/>
                <w:p>
                  <w:pPr>
                    <w:pStyle w:val="Compact"/>
                    <w:jc w:val="left"/>
                    <w:jc w:val="center"/>
                  </w:pPr>
                  <w:r>
                    <w:t xml:space="preserve">Contrast</w:t>
                  </w:r>
                </w:p>
              </w:tc>
              <w:tc>
                <w:tcPr/>
                <w:p>
                  <w:pPr>
                    <w:pStyle w:val="Compact"/>
                    <w:jc w:val="right"/>
                    <w:jc w:val="center"/>
                  </w:pPr>
                  <w:r>
                    <w:t xml:space="preserve">Predicted low</w:t>
                  </w:r>
                </w:p>
              </w:tc>
              <w:tc>
                <w:tcPr/>
                <w:p>
                  <w:pPr>
                    <w:pStyle w:val="Compact"/>
                    <w:jc w:val="right"/>
                    <w:jc w:val="center"/>
                  </w:pPr>
                  <w:r>
                    <w:t xml:space="preserve">Predicted high</w:t>
                  </w:r>
                </w:p>
              </w:tc>
              <w:tc>
                <w:tcPr/>
                <w:p>
                  <w:pPr>
                    <w:pStyle w:val="Compact"/>
                    <w:jc w:val="center"/>
                    <w:jc w:val="center"/>
                  </w:pPr>
                  <w:r>
                    <w:t xml:space="preserve">Difference (89% CrI)</w:t>
                  </w:r>
                </w:p>
              </w:tc>
              <w:tc>
                <w:tcPr/>
                <w:p>
                  <w:pPr>
                    <w:pStyle w:val="Compact"/>
                    <w:jc w:val="center"/>
                    <w:jc w:val="center"/>
                  </w:pPr>
                  <w:r>
                    <w:t xml:space="preserve">Ratio (89% CrI)</w:t>
                  </w:r>
                </w:p>
              </w:tc>
              <w:tc>
                <w:tcPr/>
                <w:p>
                  <w:pPr>
                    <w:pStyle w:val="Compact"/>
                    <w:jc w:val="center"/>
                    <w:jc w:val="center"/>
                  </w:pPr>
                  <w:r>
                    <w:t xml:space="preserve">P(Δ &gt; 0)</w:t>
                  </w:r>
                </w:p>
              </w:tc>
            </w:tr>
            <w:tr>
              <w:tc>
                <w:tcPr/>
                <w:p>
                  <w:pPr>
                    <w:pStyle w:val="Compact"/>
                    <w:jc w:val="left"/>
                    <w:jc w:val="center"/>
                  </w:pPr>
                  <w:r>
                    <w:t xml:space="preserve">Relative humidity</w:t>
                  </w:r>
                </w:p>
              </w:tc>
              <w:tc>
                <w:tcPr/>
                <w:p>
                  <w:pPr>
                    <w:pStyle w:val="Compact"/>
                    <w:jc w:val="left"/>
                    <w:jc w:val="center"/>
                  </w:pPr>
                  <w:r>
                    <w:t xml:space="preserve">Low</w:t>
                  </w:r>
                </w:p>
              </w:tc>
              <w:tc>
                <w:tcPr/>
                <w:p>
                  <w:pPr>
                    <w:pStyle w:val="Compact"/>
                    <w:jc w:val="left"/>
                    <w:jc w:val="center"/>
                  </w:pPr>
                  <w:r>
                    <w:t xml:space="preserve">10th–90th percentile</w:t>
                  </w:r>
                </w:p>
              </w:tc>
              <w:tc>
                <w:tcPr/>
                <w:p>
                  <w:pPr>
                    <w:pStyle w:val="Compact"/>
                    <w:jc w:val="right"/>
                    <w:jc w:val="center"/>
                  </w:pPr>
                  <w:r>
                    <w:t xml:space="preserve">4.3</w:t>
                  </w:r>
                </w:p>
              </w:tc>
              <w:tc>
                <w:tcPr/>
                <w:p>
                  <w:pPr>
                    <w:pStyle w:val="Compact"/>
                    <w:jc w:val="right"/>
                    <w:jc w:val="center"/>
                  </w:pPr>
                  <w:r>
                    <w:t xml:space="preserve">5.3</w:t>
                  </w:r>
                </w:p>
              </w:tc>
              <w:tc>
                <w:tcPr/>
                <w:p>
                  <w:pPr>
                    <w:pStyle w:val="Compact"/>
                    <w:jc w:val="center"/>
                    <w:jc w:val="center"/>
                  </w:pPr>
                  <w:r>
                    <w:t xml:space="preserve">1.0 (-0.1, 2.3)</w:t>
                  </w:r>
                </w:p>
              </w:tc>
              <w:tc>
                <w:tcPr/>
                <w:p>
                  <w:pPr>
                    <w:pStyle w:val="Compact"/>
                    <w:jc w:val="center"/>
                    <w:jc w:val="center"/>
                  </w:pPr>
                  <w:r>
                    <w:t xml:space="preserve">1.23 (0.97, 1.56)</w:t>
                  </w:r>
                </w:p>
              </w:tc>
              <w:tc>
                <w:tcPr/>
                <w:p>
                  <w:pPr>
                    <w:pStyle w:val="Compact"/>
                    <w:jc w:val="center"/>
                    <w:jc w:val="center"/>
                  </w:pPr>
                  <w:r>
                    <w:t xml:space="preserve">0.917</w:t>
                  </w:r>
                </w:p>
              </w:tc>
            </w:tr>
            <w:tr>
              <w:tc>
                <w:tcPr/>
                <w:p>
                  <w:pPr>
                    <w:pStyle w:val="Compact"/>
                    <w:jc w:val="left"/>
                    <w:jc w:val="center"/>
                  </w:pPr>
                  <w:r>
                    <w:t xml:space="preserve">Relative humidity</w:t>
                  </w:r>
                </w:p>
              </w:tc>
              <w:tc>
                <w:tcPr/>
                <w:p>
                  <w:pPr>
                    <w:pStyle w:val="Compact"/>
                    <w:jc w:val="left"/>
                    <w:jc w:val="center"/>
                  </w:pPr>
                  <w:r>
                    <w:t xml:space="preserve">Mid</w:t>
                  </w:r>
                </w:p>
              </w:tc>
              <w:tc>
                <w:tcPr/>
                <w:p>
                  <w:pPr>
                    <w:pStyle w:val="Compact"/>
                    <w:jc w:val="left"/>
                    <w:jc w:val="center"/>
                  </w:pPr>
                  <w:r>
                    <w:t xml:space="preserve">10th–90th percentile</w:t>
                  </w:r>
                </w:p>
              </w:tc>
              <w:tc>
                <w:tcPr/>
                <w:p>
                  <w:pPr>
                    <w:pStyle w:val="Compact"/>
                    <w:jc w:val="right"/>
                    <w:jc w:val="center"/>
                  </w:pPr>
                  <w:r>
                    <w:t xml:space="preserve">19.8</w:t>
                  </w:r>
                </w:p>
              </w:tc>
              <w:tc>
                <w:tcPr/>
                <w:p>
                  <w:pPr>
                    <w:pStyle w:val="Compact"/>
                    <w:jc w:val="right"/>
                    <w:jc w:val="center"/>
                  </w:pPr>
                  <w:r>
                    <w:t xml:space="preserve">13.7</w:t>
                  </w:r>
                </w:p>
              </w:tc>
              <w:tc>
                <w:tcPr/>
                <w:p>
                  <w:pPr>
                    <w:pStyle w:val="Compact"/>
                    <w:jc w:val="center"/>
                    <w:jc w:val="center"/>
                  </w:pPr>
                  <w:r>
                    <w:t xml:space="preserve">-6.1 (-9.2, -3.1)</w:t>
                  </w:r>
                </w:p>
              </w:tc>
              <w:tc>
                <w:tcPr/>
                <w:p>
                  <w:pPr>
                    <w:pStyle w:val="Compact"/>
                    <w:jc w:val="center"/>
                    <w:jc w:val="center"/>
                  </w:pPr>
                  <w:r>
                    <w:t xml:space="preserve">0.69 (0.58, 0.83)</w:t>
                  </w:r>
                </w:p>
              </w:tc>
              <w:tc>
                <w:tcPr/>
                <w:p>
                  <w:pPr>
                    <w:pStyle w:val="Compact"/>
                    <w:jc w:val="center"/>
                    <w:jc w:val="center"/>
                  </w:pPr>
                  <w:r>
                    <w:t xml:space="preserve">0.000</w:t>
                  </w:r>
                </w:p>
              </w:tc>
            </w:tr>
            <w:tr>
              <w:tc>
                <w:tcPr/>
                <w:p>
                  <w:pPr>
                    <w:pStyle w:val="Compact"/>
                    <w:jc w:val="left"/>
                    <w:jc w:val="center"/>
                  </w:pPr>
                  <w:r>
                    <w:t xml:space="preserve">Relative humidity</w:t>
                  </w:r>
                </w:p>
              </w:tc>
              <w:tc>
                <w:tcPr/>
                <w:p>
                  <w:pPr>
                    <w:pStyle w:val="Compact"/>
                    <w:jc w:val="left"/>
                    <w:jc w:val="center"/>
                  </w:pPr>
                  <w:r>
                    <w:t xml:space="preserve">High</w:t>
                  </w:r>
                </w:p>
              </w:tc>
              <w:tc>
                <w:tcPr/>
                <w:p>
                  <w:pPr>
                    <w:pStyle w:val="Compact"/>
                    <w:jc w:val="left"/>
                    <w:jc w:val="center"/>
                  </w:pPr>
                  <w:r>
                    <w:t xml:space="preserve">10th–90th percentile</w:t>
                  </w:r>
                </w:p>
              </w:tc>
              <w:tc>
                <w:tcPr/>
                <w:p>
                  <w:pPr>
                    <w:pStyle w:val="Compact"/>
                    <w:jc w:val="right"/>
                    <w:jc w:val="center"/>
                  </w:pPr>
                  <w:r>
                    <w:t xml:space="preserve">52.4</w:t>
                  </w:r>
                </w:p>
              </w:tc>
              <w:tc>
                <w:tcPr/>
                <w:p>
                  <w:pPr>
                    <w:pStyle w:val="Compact"/>
                    <w:jc w:val="right"/>
                    <w:jc w:val="center"/>
                  </w:pPr>
                  <w:r>
                    <w:t xml:space="preserve">29.0</w:t>
                  </w:r>
                </w:p>
              </w:tc>
              <w:tc>
                <w:tcPr/>
                <w:p>
                  <w:pPr>
                    <w:pStyle w:val="Compact"/>
                    <w:jc w:val="center"/>
                    <w:jc w:val="center"/>
                  </w:pPr>
                  <w:r>
                    <w:t xml:space="preserve">-23.3 (-28.0, -18.9)</w:t>
                  </w:r>
                </w:p>
              </w:tc>
              <w:tc>
                <w:tcPr/>
                <w:p>
                  <w:pPr>
                    <w:pStyle w:val="Compact"/>
                    <w:jc w:val="center"/>
                    <w:jc w:val="center"/>
                  </w:pPr>
                  <w:r>
                    <w:t xml:space="preserve">0.55 (0.50, 0.62)</w:t>
                  </w:r>
                </w:p>
              </w:tc>
              <w:tc>
                <w:tcPr/>
                <w:p>
                  <w:pPr>
                    <w:pStyle w:val="Compact"/>
                    <w:jc w:val="center"/>
                    <w:jc w:val="center"/>
                  </w:pPr>
                  <w:r>
                    <w:t xml:space="preserve">0.000</w:t>
                  </w:r>
                </w:p>
              </w:tc>
            </w:tr>
            <w:tr>
              <w:tc>
                <w:tcPr/>
                <w:p>
                  <w:pPr>
                    <w:pStyle w:val="Compact"/>
                    <w:jc w:val="left"/>
                    <w:jc w:val="center"/>
                  </w:pPr>
                  <w:r>
                    <w:t xml:space="preserve">Temperature</w:t>
                  </w:r>
                </w:p>
              </w:tc>
              <w:tc>
                <w:tcPr/>
                <w:p>
                  <w:pPr>
                    <w:pStyle w:val="Compact"/>
                    <w:jc w:val="left"/>
                    <w:jc w:val="center"/>
                  </w:pPr>
                  <w:r>
                    <w:t xml:space="preserve">Low</w:t>
                  </w:r>
                </w:p>
              </w:tc>
              <w:tc>
                <w:tcPr/>
                <w:p>
                  <w:pPr>
                    <w:pStyle w:val="Compact"/>
                    <w:jc w:val="left"/>
                    <w:jc w:val="center"/>
                  </w:pPr>
                  <w:r>
                    <w:t xml:space="preserve">10th–90th percentile</w:t>
                  </w:r>
                </w:p>
              </w:tc>
              <w:tc>
                <w:tcPr/>
                <w:p>
                  <w:pPr>
                    <w:pStyle w:val="Compact"/>
                    <w:jc w:val="right"/>
                    <w:jc w:val="center"/>
                  </w:pPr>
                  <w:r>
                    <w:t xml:space="preserve">1.5</w:t>
                  </w:r>
                </w:p>
              </w:tc>
              <w:tc>
                <w:tcPr/>
                <w:p>
                  <w:pPr>
                    <w:pStyle w:val="Compact"/>
                    <w:jc w:val="right"/>
                    <w:jc w:val="center"/>
                  </w:pPr>
                  <w:r>
                    <w:t xml:space="preserve">13.7</w:t>
                  </w:r>
                </w:p>
              </w:tc>
              <w:tc>
                <w:tcPr/>
                <w:p>
                  <w:pPr>
                    <w:pStyle w:val="Compact"/>
                    <w:jc w:val="center"/>
                    <w:jc w:val="center"/>
                  </w:pPr>
                  <w:r>
                    <w:t xml:space="preserve">12.2 (9.5, 15.5)</w:t>
                  </w:r>
                </w:p>
              </w:tc>
              <w:tc>
                <w:tcPr/>
                <w:p>
                  <w:pPr>
                    <w:pStyle w:val="Compact"/>
                    <w:jc w:val="center"/>
                    <w:jc w:val="center"/>
                  </w:pPr>
                  <w:r>
                    <w:t xml:space="preserve">9.04 (6.21, 13.39)</w:t>
                  </w:r>
                </w:p>
              </w:tc>
              <w:tc>
                <w:tcPr/>
                <w:p>
                  <w:pPr>
                    <w:pStyle w:val="Compact"/>
                    <w:jc w:val="center"/>
                    <w:jc w:val="center"/>
                  </w:pPr>
                  <w:r>
                    <w:t xml:space="preserve">1.000</w:t>
                  </w:r>
                </w:p>
              </w:tc>
            </w:tr>
            <w:tr>
              <w:tc>
                <w:tcPr/>
                <w:p>
                  <w:pPr>
                    <w:pStyle w:val="Compact"/>
                    <w:jc w:val="left"/>
                    <w:jc w:val="center"/>
                  </w:pPr>
                  <w:r>
                    <w:t xml:space="preserve">Temperature</w:t>
                  </w:r>
                </w:p>
              </w:tc>
              <w:tc>
                <w:tcPr/>
                <w:p>
                  <w:pPr>
                    <w:pStyle w:val="Compact"/>
                    <w:jc w:val="left"/>
                    <w:jc w:val="center"/>
                  </w:pPr>
                  <w:r>
                    <w:t xml:space="preserve">Mid</w:t>
                  </w:r>
                </w:p>
              </w:tc>
              <w:tc>
                <w:tcPr/>
                <w:p>
                  <w:pPr>
                    <w:pStyle w:val="Compact"/>
                    <w:jc w:val="left"/>
                    <w:jc w:val="center"/>
                  </w:pPr>
                  <w:r>
                    <w:t xml:space="preserve">10th–90th percentile</w:t>
                  </w:r>
                </w:p>
              </w:tc>
              <w:tc>
                <w:tcPr/>
                <w:p>
                  <w:pPr>
                    <w:pStyle w:val="Compact"/>
                    <w:jc w:val="right"/>
                    <w:jc w:val="center"/>
                  </w:pPr>
                  <w:r>
                    <w:t xml:space="preserve">3.5</w:t>
                  </w:r>
                </w:p>
              </w:tc>
              <w:tc>
                <w:tcPr/>
                <w:p>
                  <w:pPr>
                    <w:pStyle w:val="Compact"/>
                    <w:jc w:val="right"/>
                    <w:jc w:val="center"/>
                  </w:pPr>
                  <w:r>
                    <w:t xml:space="preserve">69.9</w:t>
                  </w:r>
                </w:p>
              </w:tc>
              <w:tc>
                <w:tcPr/>
                <w:p>
                  <w:pPr>
                    <w:pStyle w:val="Compact"/>
                    <w:jc w:val="center"/>
                    <w:jc w:val="center"/>
                  </w:pPr>
                  <w:r>
                    <w:t xml:space="preserve">66.4 (54.4, 81.0)</w:t>
                  </w:r>
                </w:p>
              </w:tc>
              <w:tc>
                <w:tcPr/>
                <w:p>
                  <w:pPr>
                    <w:pStyle w:val="Compact"/>
                    <w:jc w:val="center"/>
                    <w:jc w:val="center"/>
                  </w:pPr>
                  <w:r>
                    <w:t xml:space="preserve">20.09 (15.37, 26.34)</w:t>
                  </w:r>
                </w:p>
              </w:tc>
              <w:tc>
                <w:tcPr/>
                <w:p>
                  <w:pPr>
                    <w:pStyle w:val="Compact"/>
                    <w:jc w:val="center"/>
                    <w:jc w:val="center"/>
                  </w:pPr>
                  <w:r>
                    <w:t xml:space="preserve">1.000</w:t>
                  </w:r>
                </w:p>
              </w:tc>
            </w:tr>
            <w:tr>
              <w:tc>
                <w:tcPr/>
                <w:p>
                  <w:pPr>
                    <w:pStyle w:val="Compact"/>
                    <w:jc w:val="left"/>
                    <w:jc w:val="center"/>
                  </w:pPr>
                  <w:r>
                    <w:t xml:space="preserve">Temperature</w:t>
                  </w:r>
                </w:p>
              </w:tc>
              <w:tc>
                <w:tcPr/>
                <w:p>
                  <w:pPr>
                    <w:pStyle w:val="Compact"/>
                    <w:jc w:val="left"/>
                    <w:jc w:val="center"/>
                  </w:pPr>
                  <w:r>
                    <w:t xml:space="preserve">High</w:t>
                  </w:r>
                </w:p>
              </w:tc>
              <w:tc>
                <w:tcPr/>
                <w:p>
                  <w:pPr>
                    <w:pStyle w:val="Compact"/>
                    <w:jc w:val="left"/>
                    <w:jc w:val="center"/>
                  </w:pPr>
                  <w:r>
                    <w:t xml:space="preserve">10th–90th percentile</w:t>
                  </w:r>
                </w:p>
              </w:tc>
              <w:tc>
                <w:tcPr/>
                <w:p>
                  <w:pPr>
                    <w:pStyle w:val="Compact"/>
                    <w:jc w:val="right"/>
                    <w:jc w:val="center"/>
                  </w:pPr>
                  <w:r>
                    <w:t xml:space="preserve">33.9</w:t>
                  </w:r>
                </w:p>
              </w:tc>
              <w:tc>
                <w:tcPr/>
                <w:p>
                  <w:pPr>
                    <w:pStyle w:val="Compact"/>
                    <w:jc w:val="right"/>
                    <w:jc w:val="center"/>
                  </w:pPr>
                  <w:r>
                    <w:t xml:space="preserve">68.3</w:t>
                  </w:r>
                </w:p>
              </w:tc>
              <w:tc>
                <w:tcPr/>
                <w:p>
                  <w:pPr>
                    <w:pStyle w:val="Compact"/>
                    <w:jc w:val="center"/>
                    <w:jc w:val="center"/>
                  </w:pPr>
                  <w:r>
                    <w:t xml:space="preserve">34.3 (26.7, 42.4)</w:t>
                  </w:r>
                </w:p>
              </w:tc>
              <w:tc>
                <w:tcPr/>
                <w:p>
                  <w:pPr>
                    <w:pStyle w:val="Compact"/>
                    <w:jc w:val="center"/>
                    <w:jc w:val="center"/>
                  </w:pPr>
                  <w:r>
                    <w:t xml:space="preserve">2.01 (1.70, 2.38)</w:t>
                  </w:r>
                </w:p>
              </w:tc>
              <w:tc>
                <w:tcPr/>
                <w:p>
                  <w:pPr>
                    <w:pStyle w:val="Compact"/>
                    <w:jc w:val="center"/>
                    <w:jc w:val="center"/>
                  </w:pPr>
                  <w:r>
                    <w:t xml:space="preserve">1.000</w:t>
                  </w:r>
                </w:p>
              </w:tc>
            </w:tr>
            <w:tr>
              <w:tc>
                <w:tcPr/>
                <w:p>
                  <w:pPr>
                    <w:pStyle w:val="Compact"/>
                    <w:jc w:val="left"/>
                    <w:jc w:val="center"/>
                  </w:pPr>
                  <w:r>
                    <w:t xml:space="preserve">Lunar phase</w:t>
                  </w:r>
                </w:p>
              </w:tc>
              <w:tc>
                <w:tcPr/>
                <w:p>
                  <w:pPr>
                    <w:pStyle w:val="Compact"/>
                    <w:jc w:val="left"/>
                    <w:jc w:val="center"/>
                  </w:pPr>
                  <w:r>
                    <w:t xml:space="preserve">Low</w:t>
                  </w:r>
                </w:p>
              </w:tc>
              <w:tc>
                <w:tcPr/>
                <w:p>
                  <w:pPr>
                    <w:pStyle w:val="Compact"/>
                    <w:jc w:val="left"/>
                    <w:jc w:val="center"/>
                  </w:pPr>
                  <w:r>
                    <w:t xml:space="preserve">New–full moon</w:t>
                  </w:r>
                </w:p>
              </w:tc>
              <w:tc>
                <w:tcPr/>
                <w:p>
                  <w:pPr>
                    <w:pStyle w:val="Compact"/>
                    <w:jc w:val="right"/>
                    <w:jc w:val="center"/>
                  </w:pPr>
                  <w:r>
                    <w:t xml:space="preserve">6.3</w:t>
                  </w:r>
                </w:p>
              </w:tc>
              <w:tc>
                <w:tcPr/>
                <w:p>
                  <w:pPr>
                    <w:pStyle w:val="Compact"/>
                    <w:jc w:val="right"/>
                    <w:jc w:val="center"/>
                  </w:pPr>
                  <w:r>
                    <w:t xml:space="preserve">5.4</w:t>
                  </w:r>
                </w:p>
              </w:tc>
              <w:tc>
                <w:tcPr/>
                <w:p>
                  <w:pPr>
                    <w:pStyle w:val="Compact"/>
                    <w:jc w:val="center"/>
                    <w:jc w:val="center"/>
                  </w:pPr>
                  <w:r>
                    <w:t xml:space="preserve">-0.9 (-2.1, 0.2)</w:t>
                  </w:r>
                </w:p>
              </w:tc>
              <w:tc>
                <w:tcPr/>
                <w:p>
                  <w:pPr>
                    <w:pStyle w:val="Compact"/>
                    <w:jc w:val="center"/>
                    <w:jc w:val="center"/>
                  </w:pPr>
                  <w:r>
                    <w:t xml:space="preserve">0.85 (0.71, 1.04)</w:t>
                  </w:r>
                </w:p>
              </w:tc>
              <w:tc>
                <w:tcPr/>
                <w:p>
                  <w:pPr>
                    <w:pStyle w:val="Compact"/>
                    <w:jc w:val="center"/>
                    <w:jc w:val="center"/>
                  </w:pPr>
                  <w:r>
                    <w:t xml:space="preserve">0.102</w:t>
                  </w:r>
                </w:p>
              </w:tc>
            </w:tr>
            <w:tr>
              <w:tc>
                <w:tcPr/>
                <w:p>
                  <w:pPr>
                    <w:pStyle w:val="Compact"/>
                    <w:jc w:val="left"/>
                    <w:jc w:val="center"/>
                  </w:pPr>
                  <w:r>
                    <w:t xml:space="preserve">Lunar phase</w:t>
                  </w:r>
                </w:p>
              </w:tc>
              <w:tc>
                <w:tcPr/>
                <w:p>
                  <w:pPr>
                    <w:pStyle w:val="Compact"/>
                    <w:jc w:val="left"/>
                    <w:jc w:val="center"/>
                  </w:pPr>
                  <w:r>
                    <w:t xml:space="preserve">Mid</w:t>
                  </w:r>
                </w:p>
              </w:tc>
              <w:tc>
                <w:tcPr/>
                <w:p>
                  <w:pPr>
                    <w:pStyle w:val="Compact"/>
                    <w:jc w:val="left"/>
                    <w:jc w:val="center"/>
                  </w:pPr>
                  <w:r>
                    <w:t xml:space="preserve">New–full moon</w:t>
                  </w:r>
                </w:p>
              </w:tc>
              <w:tc>
                <w:tcPr/>
                <w:p>
                  <w:pPr>
                    <w:pStyle w:val="Compact"/>
                    <w:jc w:val="right"/>
                    <w:jc w:val="center"/>
                  </w:pPr>
                  <w:r>
                    <w:t xml:space="preserve">18.2</w:t>
                  </w:r>
                </w:p>
              </w:tc>
              <w:tc>
                <w:tcPr/>
                <w:p>
                  <w:pPr>
                    <w:pStyle w:val="Compact"/>
                    <w:jc w:val="right"/>
                    <w:jc w:val="center"/>
                  </w:pPr>
                  <w:r>
                    <w:t xml:space="preserve">20.1</w:t>
                  </w:r>
                </w:p>
              </w:tc>
              <w:tc>
                <w:tcPr/>
                <w:p>
                  <w:pPr>
                    <w:pStyle w:val="Compact"/>
                    <w:jc w:val="center"/>
                    <w:jc w:val="center"/>
                  </w:pPr>
                  <w:r>
                    <w:t xml:space="preserve">1.8 (-1.0, 4.8)</w:t>
                  </w:r>
                </w:p>
              </w:tc>
              <w:tc>
                <w:tcPr/>
                <w:p>
                  <w:pPr>
                    <w:pStyle w:val="Compact"/>
                    <w:jc w:val="center"/>
                    <w:jc w:val="center"/>
                  </w:pPr>
                  <w:r>
                    <w:t xml:space="preserve">1.10 (0.95, 1.28)</w:t>
                  </w:r>
                </w:p>
              </w:tc>
              <w:tc>
                <w:tcPr/>
                <w:p>
                  <w:pPr>
                    <w:pStyle w:val="Compact"/>
                    <w:jc w:val="center"/>
                    <w:jc w:val="center"/>
                  </w:pPr>
                  <w:r>
                    <w:t xml:space="preserve">0.850</w:t>
                  </w:r>
                </w:p>
              </w:tc>
            </w:tr>
            <w:tr>
              <w:tc>
                <w:tcPr/>
                <w:p>
                  <w:pPr>
                    <w:pStyle w:val="Compact"/>
                    <w:jc w:val="left"/>
                    <w:jc w:val="center"/>
                  </w:pPr>
                  <w:r>
                    <w:t xml:space="preserve">Lunar phase</w:t>
                  </w:r>
                </w:p>
              </w:tc>
              <w:tc>
                <w:tcPr/>
                <w:p>
                  <w:pPr>
                    <w:pStyle w:val="Compact"/>
                    <w:jc w:val="left"/>
                    <w:jc w:val="center"/>
                  </w:pPr>
                  <w:r>
                    <w:t xml:space="preserve">High</w:t>
                  </w:r>
                </w:p>
              </w:tc>
              <w:tc>
                <w:tcPr/>
                <w:p>
                  <w:pPr>
                    <w:pStyle w:val="Compact"/>
                    <w:jc w:val="left"/>
                    <w:jc w:val="center"/>
                  </w:pPr>
                  <w:r>
                    <w:t xml:space="preserve">New–full moon</w:t>
                  </w:r>
                </w:p>
              </w:tc>
              <w:tc>
                <w:tcPr/>
                <w:p>
                  <w:pPr>
                    <w:pStyle w:val="Compact"/>
                    <w:jc w:val="right"/>
                    <w:jc w:val="center"/>
                  </w:pPr>
                  <w:r>
                    <w:t xml:space="preserve">37.8</w:t>
                  </w:r>
                </w:p>
              </w:tc>
              <w:tc>
                <w:tcPr/>
                <w:p>
                  <w:pPr>
                    <w:pStyle w:val="Compact"/>
                    <w:jc w:val="right"/>
                    <w:jc w:val="center"/>
                  </w:pPr>
                  <w:r>
                    <w:t xml:space="preserve">48.3</w:t>
                  </w:r>
                </w:p>
              </w:tc>
              <w:tc>
                <w:tcPr/>
                <w:p>
                  <w:pPr>
                    <w:pStyle w:val="Compact"/>
                    <w:jc w:val="center"/>
                    <w:jc w:val="center"/>
                  </w:pPr>
                  <w:r>
                    <w:t xml:space="preserve">10.4 (7.0, 14.4)</w:t>
                  </w:r>
                </w:p>
              </w:tc>
              <w:tc>
                <w:tcPr/>
                <w:p>
                  <w:pPr>
                    <w:pStyle w:val="Compact"/>
                    <w:jc w:val="center"/>
                    <w:jc w:val="center"/>
                  </w:pPr>
                  <w:r>
                    <w:t xml:space="preserve">1.28 (1.18, 1.39)</w:t>
                  </w:r>
                </w:p>
              </w:tc>
              <w:tc>
                <w:tcPr/>
                <w:p>
                  <w:pPr>
                    <w:pStyle w:val="Compact"/>
                    <w:jc w:val="center"/>
                    <w:jc w:val="center"/>
                  </w:pPr>
                  <w:r>
                    <w:t xml:space="preserve">1.000</w:t>
                  </w:r>
                </w:p>
              </w:tc>
            </w:tr>
          </w:tbl>
          <w:bookmarkEnd w:id="50"/>
          <w:p/>
        </w:tc>
      </w:tr>
    </w:tbl>
    <w:p>
      <w:pPr>
        <w:sectPr>
          <w:type w:val="nextPage"/>
          <w:pgSz w:w="15840" w:h="12240" w:orient="landscape"/>
        </w:sectPr>
      </w:pPr>
    </w:p>
    <w:bookmarkEnd w:id="51"/>
    <w:bookmarkEnd w:id="52"/>
    <w:bookmarkEnd w:id="53"/>
    <w:bookmarkStart w:id="59" w:name="discussion"/>
    <w:p>
      <w:pPr>
        <w:pStyle w:val="Heading1"/>
      </w:pPr>
      <w:r>
        <w:t xml:space="preserve">Discussion</w:t>
      </w:r>
    </w:p>
    <w:p>
      <w:pPr>
        <w:pStyle w:val="FirstParagraph"/>
      </w:pPr>
      <w:r>
        <w:t xml:space="preserve">Bat acoustic activity varied substantially across the sampling period, among sites, and in relation to nightly environmental conditions. Seasonal phenology differed markedly among sites, indicating substantial local variation in the timing and magnitude of activity. Temperature was positively associated with activity across all three echolocation-frequency groups, suggesting a broadly shared response to warmer nightly conditions. The clearest evidence of systematic differences among frequency groups occurred with relative humidity: low-frequency activity remained comparatively stable, mid-frequency activity declined, and high-frequency activity showed the strongest decline. This ordering matched our a priori prediction from the frequency-dependent physics of ultrasonic sound propagation. Together, these results indicate that environmental conditions can structure bat activity through processes operating at multiple temporal and biological scales, including mechanisms linked to sensory ecology.</w:t>
      </w:r>
    </w:p>
    <w:bookmarkStart w:id="54" w:name="X61816c96d3da2ce38b8e1f7aca2a75cd5f367a1"/>
    <w:p>
      <w:pPr>
        <w:pStyle w:val="Heading2"/>
      </w:pPr>
      <w:r>
        <w:t xml:space="preserve">Seasonal phenology and nightly environmental conditions</w:t>
      </w:r>
    </w:p>
    <w:p>
      <w:pPr>
        <w:pStyle w:val="FirstParagraph"/>
      </w:pPr>
      <w:r>
        <w:t xml:space="preserve">Seasonal variation in bat activity reflected both changes in nightly environmental conditions and seasonal processes not captured by those conditions. The substantial difference between the overall and environmentally conditioned seasonal patterns indicates that the observed seasonal pattern in acoustic activity can partly reflect the strong seasonal covariance between weather and bat activity. This is consistent with studies showing that temperature and other weather conditions structure nightly bat activity across temperate systems</w:t>
      </w:r>
      <w:r>
        <w:t xml:space="preserve"> </w:t>
      </w:r>
      <w:r>
        <w:t xml:space="preserve">(Bender &amp; Hartman, 2015; Jorge et al., 2021; Mas et al., 2022; Russo-Petrick &amp; Root, 2023; Wolbert et al., 2014)</w:t>
      </w:r>
      <w:r>
        <w:t xml:space="preserve">. At the same time, a pronounced seasonal signal remained after accounting for temperature, relative humidity, and lunar phase, indicating that weather alone does not account for seasonal changes in activity. Seasonal changes in bat activity can also reflect migration and redistribution across the landscape</w:t>
      </w:r>
      <w:r>
        <w:t xml:space="preserve"> </w:t>
      </w:r>
      <w:r>
        <w:t xml:space="preserve">(Cryan, 2003; Weller et al., 2016)</w:t>
      </w:r>
      <w:r>
        <w:t xml:space="preserve">, reproductive phenology and the energetic demands of lactation</w:t>
      </w:r>
      <w:r>
        <w:t xml:space="preserve"> </w:t>
      </w:r>
      <w:r>
        <w:t xml:space="preserve">(Deeley et al., 2022)</w:t>
      </w:r>
      <w:r>
        <w:t xml:space="preserve">, seasonal changes in roost and habitat use</w:t>
      </w:r>
      <w:r>
        <w:t xml:space="preserve"> </w:t>
      </w:r>
      <w:r>
        <w:t xml:space="preserve">(Lewis et al., 2022)</w:t>
      </w:r>
      <w:r>
        <w:t xml:space="preserve">, and temporal variation in prey availability</w:t>
      </w:r>
      <w:r>
        <w:t xml:space="preserve"> </w:t>
      </w:r>
      <w:r>
        <w:t xml:space="preserve">(Metcalfe et al., 2023)</w:t>
      </w:r>
      <w:r>
        <w:t xml:space="preserve">. Seasonal activity should therefore be viewed not simply as a response to changing weather, but as the combined outcome of environmental conditions and biological phenology.</w:t>
      </w:r>
    </w:p>
    <w:p>
      <w:pPr>
        <w:pStyle w:val="BodyText"/>
      </w:pPr>
      <w:r>
        <w:t xml:space="preserve">The strong among-site differences in seasonal phenology further demonstrate that these processes operate at local as well as regional scales. Sites exposed to the same broad climatic season nevertheless differed substantially in the timing and magnitude of activity. Local habitat conditions, proximity to roosts, resource availability, species composition, and seasonal changes in landscape use could all generate such differences. Consequently, a regional seasonal trajectory may obscure biologically meaningful spatial variation in phenology, even when monitoring sites are geographically close. This spatial heterogeneity may be particularly important in acoustic monitoring studies, where seasonal changes in the species using individual sites can produce very different local activity trajectories within the same regional bat assemblage.</w:t>
      </w:r>
    </w:p>
    <w:p>
      <w:pPr>
        <w:pStyle w:val="BodyText"/>
      </w:pPr>
      <w:r>
        <w:t xml:space="preserve">Accounting for this local phenology is also important when estimating associations with nightly environmental conditions. Temperature and humidity vary seasonally at the same time that bat populations undergo changes in migration, reproduction, energetic requirements, and habitat use. Environmental associations can therefore incorporate multiple processes if seasonal structure is inadequately represented. Our results suggest that explicitly representing local seasonal trajectories can help distinguish this phenological variation from associations with nightly environmental conditions.</w:t>
      </w:r>
    </w:p>
    <w:bookmarkEnd w:id="54"/>
    <w:bookmarkStart w:id="55" w:name="humidity-and-echolocation-frequency"/>
    <w:p>
      <w:pPr>
        <w:pStyle w:val="Heading2"/>
      </w:pPr>
      <w:r>
        <w:t xml:space="preserve">Humidity and echolocation frequency</w:t>
      </w:r>
    </w:p>
    <w:p>
      <w:pPr>
        <w:pStyle w:val="FirstParagraph"/>
      </w:pPr>
      <w:r>
        <w:t xml:space="preserve">Relative humidity produced the clearest evidence that environmental sensitivity differed systematically among echolocation-frequency groups. Activity declined with increasing humidity in the mid- and high-frequency groups, with the strongest response occurring among high-frequency species, whereas activity in the low-frequency group remained comparatively stable. Thus, sensitivity to humidity increased across the frequency gradient in the direction predicted from the physical properties of ultrasonic sound propagation.</w:t>
      </w:r>
    </w:p>
    <w:p>
      <w:pPr>
        <w:pStyle w:val="BodyText"/>
      </w:pPr>
      <w:r>
        <w:t xml:space="preserve">This frequency ordering is consistent with atmospheric attenuation as one mechanism contributing to the observed response. Atmospheric absorption increases strongly with ultrasonic frequency, while its relationship with humidity is nonlinear and frequency dependent</w:t>
      </w:r>
      <w:r>
        <w:t xml:space="preserve"> </w:t>
      </w:r>
      <w:r>
        <w:t xml:space="preserve">(Griffin, 1971; Lawrence &amp; Simmons, 1982)</w:t>
      </w:r>
      <w:r>
        <w:t xml:space="preserve">. Consequently, changes in atmospheric conditions can alter the effective sensory range available to echolocating bats, with effects that depend on call frequency. Reduced sensory range can decrease the volume of space over which prey can be detected and potentially alter foraging efficiency</w:t>
      </w:r>
      <w:r>
        <w:t xml:space="preserve"> </w:t>
      </w:r>
      <w:r>
        <w:t xml:space="preserve">(Luo et al., 2014)</w:t>
      </w:r>
      <w:r>
        <w:t xml:space="preserve">. Recent measurements from free-flying temperate bats further indicate that behavioral adjustments in echolocation calls do not necessarily compensate for weather-induced increases in attenuation and associated reductions in prey-detection distance</w:t>
      </w:r>
      <w:r>
        <w:t xml:space="preserve"> </w:t>
      </w:r>
      <w:r>
        <w:t xml:space="preserve">(</w:t>
      </w:r>
      <w:r>
        <w:t xml:space="preserve">de Framond et al.</w:t>
      </w:r>
      <w:r>
        <w:t xml:space="preserve">, 2023)</w:t>
      </w:r>
      <w:r>
        <w:t xml:space="preserve">.</w:t>
      </w:r>
    </w:p>
    <w:p>
      <w:pPr>
        <w:pStyle w:val="BodyText"/>
      </w:pPr>
      <w:r>
        <w:t xml:space="preserve">Atmospheric attenuation is unlikely to be the only process linking humidity to bat activity. Relative humidity and other weather conditions can influence the flight activity and availability of nocturnal insects, including Lepidoptera</w:t>
      </w:r>
      <w:r>
        <w:t xml:space="preserve"> </w:t>
      </w:r>
      <w:r>
        <w:t xml:space="preserve">(Gregg et al., 1994; Hirao et al., 2008)</w:t>
      </w:r>
      <w:r>
        <w:t xml:space="preserve">, providing a prey-mediated pathway through which humidity could influence bat activity independently of acoustic transmission. These relationships need not be monotonic and may differ among insect taxa and environmental conditions. Species within our frequency groups also differ in ecological characteristics beyond call frequency. Nevertheless, the observed ordering is notable because it followed an a priori prediction derived from acoustic principles rather than a pattern defined after examining the activity data. Moreover, the frequency-dependent association remained after accounting for temperature and seasonal phenology. The correspondence between a mechanistic prediction about sound propagation and the observed ordering of field activity therefore provides evidence that atmospheric transmission contributes to variation in bat activity associated with humidity, while leaving open the possibility that prey dynamics and other ecological processes contribute simultaneously.</w:t>
      </w:r>
    </w:p>
    <w:bookmarkEnd w:id="55"/>
    <w:bookmarkStart w:id="56" w:name="temperature"/>
    <w:p>
      <w:pPr>
        <w:pStyle w:val="Heading2"/>
      </w:pPr>
      <w:r>
        <w:t xml:space="preserve">Temperature</w:t>
      </w:r>
    </w:p>
    <w:p>
      <w:pPr>
        <w:pStyle w:val="FirstParagraph"/>
      </w:pPr>
      <w:r>
        <w:t xml:space="preserve">Temperature was strongly positively associated with activity across all three frequency groups, although the magnitude and shape of the responses differed among groups. This broadly consistent response indicates that warmer nights favored bat activity across much of the assemblage rather than producing contrasting thermal responses among groups defined by echolocation frequency.</w:t>
      </w:r>
    </w:p>
    <w:p>
      <w:pPr>
        <w:pStyle w:val="BodyText"/>
      </w:pPr>
      <w:r>
        <w:t xml:space="preserve">Positive associations between temperature and bat activity are widely reported in temperate systems</w:t>
      </w:r>
      <w:r>
        <w:t xml:space="preserve"> </w:t>
      </w:r>
      <w:r>
        <w:t xml:space="preserve">(Bender &amp; Hartman, 2015; Jorge et al., 2021; Mas et al., 2022; Russo-Petrick &amp; Root, 2023; Wolbert et al., 2014)</w:t>
      </w:r>
      <w:r>
        <w:t xml:space="preserve">. Temperature can influence nightly activity through several interacting pathways. Warmer conditions can increase the activity and availability of aerial insects, while also reducing the energetic costs of thermoregulation and increasing the profitability of emergence and foraging. Conversely, cool nights can simultaneously constrain prey availability and increase the energetic costs of maintaining body temperature. The positive temperature associations observed across all three frequency groups are therefore consistent with both trophic and physiological mechanisms rather than a single temperature-dependent process.</w:t>
      </w:r>
    </w:p>
    <w:p>
      <w:pPr>
        <w:pStyle w:val="BodyText"/>
      </w:pPr>
      <w:r>
        <w:t xml:space="preserve">Differences among frequency groups should not, however, be interpreted as evidence that echolocation frequency itself determines thermal sensitivity. Unlike the direct physical relationship between call frequency and atmospheric attenuation, there is no comparable mechanism linking characteristic echolocation frequency to temperature response. The frequency groups used here contain species that also differ in body size, wing morphology, migratory behavior, roosting ecology, habitat use, and foraging strategy. Differences among their temperature-response curves may therefore reflect multiple dimensions of species ecology that covary with acoustic characteristics. The common increase in activity with temperature is consequently more informative than differences in the precise shapes of the group-specific responses: warmer nights were associated with greater activity throughout the assemblage, while the mechanisms and magnitude of that response likely varied among species.</w:t>
      </w:r>
    </w:p>
    <w:bookmarkEnd w:id="56"/>
    <w:bookmarkStart w:id="57" w:name="lunar-phase"/>
    <w:p>
      <w:pPr>
        <w:pStyle w:val="Heading2"/>
      </w:pPr>
      <w:r>
        <w:t xml:space="preserve">Lunar phase</w:t>
      </w:r>
    </w:p>
    <w:p>
      <w:pPr>
        <w:pStyle w:val="FirstParagraph"/>
      </w:pPr>
      <w:r>
        <w:t xml:space="preserve">Lunar phase was a weaker and less consistent correlate of activity than temperature or relative humidity. Activity increased toward the full moon in the high-frequency group, whereas responses in the low- and mid-frequency groups were comparatively weak and uncertain. Thus, lunar phase was not associated with a consistent assemblage-wide response, but instead were associated with activity in only part of the bat assemblage.</w:t>
      </w:r>
    </w:p>
    <w:p>
      <w:pPr>
        <w:pStyle w:val="BodyText"/>
      </w:pPr>
      <w:r>
        <w:t xml:space="preserve">Such heterogeneity is consistent with the broader literature on lunar responses in bats. Although a meta-analysis found an overall tendency for bat activity to decrease with increasing moonlight, the magnitude of this response varied with foraging habitat and latitude</w:t>
      </w:r>
      <w:r>
        <w:t xml:space="preserve"> </w:t>
      </w:r>
      <w:r>
        <w:t xml:space="preserve">(Saldaña-Vázquez &amp; Munguía-Rosas, 2013)</w:t>
      </w:r>
      <w:r>
        <w:t xml:space="preserve">. Studies of temperate insectivorous bats likewise range from little or no change in overall activity</w:t>
      </w:r>
      <w:r>
        <w:t xml:space="preserve"> </w:t>
      </w:r>
      <w:r>
        <w:t xml:space="preserve">(Hecker &amp; Brigham, 1999; Karlsson et al., 2002)</w:t>
      </w:r>
      <w:r>
        <w:t xml:space="preserve"> </w:t>
      </w:r>
      <w:r>
        <w:t xml:space="preserve">to more complex responses that depend on habitat, time of night, or other environmental conditions</w:t>
      </w:r>
      <w:r>
        <w:t xml:space="preserve"> </w:t>
      </w:r>
      <w:r>
        <w:t xml:space="preserve">(Hecker &amp; Brigham, 1999; Milne et al., 2005)</w:t>
      </w:r>
      <w:r>
        <w:t xml:space="preserve">. These differences suggest that responses to lunar illumination depend strongly on ecological context rather than reflecting a universal avoidance of bright nights.</w:t>
      </w:r>
    </w:p>
    <w:p>
      <w:pPr>
        <w:pStyle w:val="BodyText"/>
      </w:pPr>
      <w:r>
        <w:t xml:space="preserve">Several mechanisms could generate this context dependence. Increased illumination may alter exposure to visually hunting predators, but moonlight can also change the distribution or activity of insect prey and consequently where bats forage.</w:t>
      </w:r>
      <w:r>
        <w:t xml:space="preserve"> </w:t>
      </w:r>
      <w:r>
        <w:t xml:space="preserve">Hecker &amp; Brigham (1999)</w:t>
      </w:r>
      <w:r>
        <w:t xml:space="preserve">, for example, found no overall reduction in activity with increasing moonlight but observed shifts in the vertical distribution of bat activity within forest, which they interpreted as more consistent with changes in prey distribution than with avoidance of illuminated habitat. Habitat structure and foraging strategy may therefore mediate both the costs and potential benefits of activity under brighter conditions.</w:t>
      </w:r>
    </w:p>
    <w:p>
      <w:pPr>
        <w:pStyle w:val="BodyText"/>
      </w:pPr>
      <w:r>
        <w:t xml:space="preserve">The positive lunar association in our high-frequency group should similarly not be interpreted as a direct effect of echolocation frequency. Unlike the relationship between call frequency and atmospheric attenuation, there is no clear physical mechanism predicting greater lunar sensitivity at higher echolocation frequencies. Instead, frequency groups contain species that differ in habitat use, foraging strategy, morphology, and other ecological characteristics that may influence responses to lunar illumination. Our results therefore reinforce the view that lunar effects on bat activity are assemblage- and context-dependent, with the response of particular groups potentially reflecting the ecology of their constituent species rather than echolocation frequency itself.</w:t>
      </w:r>
    </w:p>
    <w:bookmarkEnd w:id="57"/>
    <w:bookmarkStart w:id="58" w:name="ecological-implications"/>
    <w:p>
      <w:pPr>
        <w:pStyle w:val="Heading2"/>
      </w:pPr>
      <w:r>
        <w:t xml:space="preserve">Ecological implications</w:t>
      </w:r>
    </w:p>
    <w:p>
      <w:pPr>
        <w:pStyle w:val="FirstParagraph"/>
      </w:pPr>
      <w:r>
        <w:t xml:space="preserve">The contrasting responses among frequency groups indicate that environmental conditions can restructure nightly bat activity through multiple mechanisms operating simultaneously. Temperature was positively associated with activity throughout the assemblage, consistent with broad effects on bat energetics and prey availability, whereas humidity produced a distinctly frequency-ordered response consistent with differences in ultrasonic transmission. Lunar responses were weaker and less consistent among groups. Environmental conditions may therefore alter not only the overall level of bat activity but also the relative activity of species with different sensory and ecological characteristics, even within the same landscape.</w:t>
      </w:r>
    </w:p>
    <w:p>
      <w:pPr>
        <w:pStyle w:val="BodyText"/>
      </w:pPr>
      <w:r>
        <w:t xml:space="preserve">The frequency-dependent humidity response suggests that changes in atmospheric conditions could affect components of bat assemblages differently. If atmospheric conditions impose greater sensory constraints on species using higher-frequency echolocation calls, variation in the frequency, magnitude, or duration of humid conditions could alter the conditions under which different components of an assemblage forage effectively. These effects would occur alongside temperature-mediated changes in prey availability and energetic costs and broader seasonal changes in migration, reproduction, and habitat use. Environmental variation may consequently alter the relative activity of species as well as total assemblage activity.</w:t>
      </w:r>
    </w:p>
    <w:p>
      <w:pPr>
        <w:pStyle w:val="BodyText"/>
      </w:pPr>
      <w:r>
        <w:t xml:space="preserve">More broadly, our results demonstrate the value of linking environmental associations to mechanistic predictions about species traits. Echolocation frequency provided an independently defined characteristic from which we could predict differences in sensitivity to atmospheric conditions, and the observed humidity response increased across frequency groups in the direction predicted from the physics of ultrasonic attenuation. Atmospheric attenuation cannot be isolated from prey responses, species ecology, or environmentally structured variation in acoustic detection in an observational study, but the correspondence between an a priori mechanistic prediction and the field response provides evidence that atmospheric transmission contributes to environmental variation in bat activity. Environmental responses of bat assemblages may therefore depend not only on the conditions animals experience, but also on the sensory systems through which they interact with those conditions.</w:t>
      </w:r>
    </w:p>
    <w:bookmarkEnd w:id="58"/>
    <w:bookmarkEnd w:id="59"/>
    <w:bookmarkStart w:id="60" w:name="acknowledgements"/>
    <w:p>
      <w:pPr>
        <w:pStyle w:val="Heading1"/>
      </w:pPr>
      <w:r>
        <w:t xml:space="preserve">Acknowledgements</w:t>
      </w:r>
    </w:p>
    <w:p>
      <w:pPr>
        <w:pStyle w:val="FirstParagraph"/>
      </w:pPr>
      <w:r>
        <w:t xml:space="preserve">We are grateful to Pacific Gas &amp; Electric Company (PG&amp;E), who sponsored this data collection as part of the Bucks Creek Project, FERC Project No. 619, relicensing studies for the Federal Energy Relicensing Commission (FERC); Laura Burkholder (former PG&amp;E biologist) who was the main contact person for biology at PG&amp;E and supported the development of the study plan; Paul Heady (Central Coast Bat Research Group) who advised the bat surveys; and Matt Franz (PG&amp;E biologist) who handled the administrative processes.</w:t>
      </w:r>
    </w:p>
    <w:bookmarkEnd w:id="60"/>
    <w:bookmarkStart w:id="139" w:name="references"/>
    <w:p>
      <w:pPr>
        <w:pStyle w:val="Heading1"/>
      </w:pPr>
      <w:r>
        <w:t xml:space="preserve">References</w:t>
      </w:r>
    </w:p>
    <w:bookmarkStart w:id="138" w:name="refs"/>
    <w:bookmarkStart w:id="62" w:name="X0d21f91233fbe088d593ab5aa75a082047b1833"/>
    <w:p>
      <w:pPr>
        <w:pStyle w:val="Bibliography"/>
      </w:pPr>
      <w:r>
        <w:t xml:space="preserve">Andreozzi, C. L., &amp; Merenlender, A. M. (2024). Microclimatic drivers of winter bat activity in coast redwood forests.</w:t>
      </w:r>
      <w:r>
        <w:t xml:space="preserve"> </w:t>
      </w:r>
      <w:r>
        <w:rPr>
          <w:i/>
          <w:iCs/>
        </w:rPr>
        <w:t xml:space="preserve">Journal of Mammalogy</w:t>
      </w:r>
      <w:r>
        <w:t xml:space="preserve">,</w:t>
      </w:r>
      <w:r>
        <w:t xml:space="preserve"> </w:t>
      </w:r>
      <w:r>
        <w:rPr>
          <w:i/>
          <w:iCs/>
        </w:rPr>
        <w:t xml:space="preserve">105</w:t>
      </w:r>
      <w:r>
        <w:t xml:space="preserve">(5), 988–1000.</w:t>
      </w:r>
      <w:r>
        <w:t xml:space="preserve"> </w:t>
      </w:r>
      <w:hyperlink r:id="rId61">
        <w:r>
          <w:rPr>
            <w:rStyle w:val="Hyperlink"/>
          </w:rPr>
          <w:t xml:space="preserve">https://doi.org/10.1093/jmammal/gyae070</w:t>
        </w:r>
      </w:hyperlink>
    </w:p>
    <w:bookmarkEnd w:id="62"/>
    <w:bookmarkStart w:id="64" w:name="ref-appelAerialInsectivorousBat2017"/>
    <w:p>
      <w:pPr>
        <w:pStyle w:val="Bibliography"/>
      </w:pPr>
      <w:r>
        <w:t xml:space="preserve">Appel, G., Lopez-Baucells, A., Magnusson, W. E., &amp; Bobrowiec, P. E. D. (2017). Aerial insectivorous bat activity in relation to moonlight intensity.</w:t>
      </w:r>
      <w:r>
        <w:t xml:space="preserve"> </w:t>
      </w:r>
      <w:r>
        <w:rPr>
          <w:i/>
          <w:iCs/>
        </w:rPr>
        <w:t xml:space="preserve">Mammalian Biology</w:t>
      </w:r>
      <w:r>
        <w:t xml:space="preserve">,</w:t>
      </w:r>
      <w:r>
        <w:t xml:space="preserve"> </w:t>
      </w:r>
      <w:r>
        <w:rPr>
          <w:i/>
          <w:iCs/>
        </w:rPr>
        <w:t xml:space="preserve">85</w:t>
      </w:r>
      <w:r>
        <w:t xml:space="preserve">, 37–46.</w:t>
      </w:r>
      <w:r>
        <w:t xml:space="preserve"> </w:t>
      </w:r>
      <w:hyperlink r:id="rId63">
        <w:r>
          <w:rPr>
            <w:rStyle w:val="Hyperlink"/>
          </w:rPr>
          <w:t xml:space="preserve">https://doi.org/10.1016/j.mambio.2016.11.005</w:t>
        </w:r>
      </w:hyperlink>
    </w:p>
    <w:bookmarkEnd w:id="64"/>
    <w:bookmarkStart w:id="65" w:name="ref-barrosHabitatUseSeasonal2014"/>
    <w:p>
      <w:pPr>
        <w:pStyle w:val="Bibliography"/>
      </w:pPr>
      <w:r>
        <w:t xml:space="preserve">Barros, M. A. S., Pessoa, D. M. A., &amp; Rui, A. M. (2014). Habitat use and seasonal activity of insectivorous bats (</w:t>
      </w:r>
      <w:r>
        <w:t xml:space="preserve">Mammalia</w:t>
      </w:r>
      <w:r>
        <w:t xml:space="preserve">:</w:t>
      </w:r>
      <w:r>
        <w:t xml:space="preserve"> </w:t>
      </w:r>
      <w:r>
        <w:t xml:space="preserve">Chiroptera</w:t>
      </w:r>
      <w:r>
        <w:t xml:space="preserve">) in the grasslands of southern</w:t>
      </w:r>
      <w:r>
        <w:t xml:space="preserve"> </w:t>
      </w:r>
      <w:r>
        <w:t xml:space="preserve">Brazil</w:t>
      </w:r>
      <w:r>
        <w:t xml:space="preserve">.</w:t>
      </w:r>
      <w:r>
        <w:t xml:space="preserve"> </w:t>
      </w:r>
      <w:r>
        <w:rPr>
          <w:i/>
          <w:iCs/>
        </w:rPr>
        <w:t xml:space="preserve">Zoologia</w:t>
      </w:r>
      <w:r>
        <w:t xml:space="preserve">,</w:t>
      </w:r>
      <w:r>
        <w:t xml:space="preserve"> </w:t>
      </w:r>
      <w:r>
        <w:rPr>
          <w:i/>
          <w:iCs/>
        </w:rPr>
        <w:t xml:space="preserve">31</w:t>
      </w:r>
      <w:r>
        <w:t xml:space="preserve">(2), 153–161.</w:t>
      </w:r>
    </w:p>
    <w:bookmarkEnd w:id="65"/>
    <w:bookmarkStart w:id="67" w:name="ref-benderBatActivityIncreases2015"/>
    <w:p>
      <w:pPr>
        <w:pStyle w:val="Bibliography"/>
      </w:pPr>
      <w:r>
        <w:t xml:space="preserve">Bender, M. J., &amp; Hartman, G. D. (2015). Bat</w:t>
      </w:r>
      <w:r>
        <w:t xml:space="preserve"> </w:t>
      </w:r>
      <w:r>
        <w:t xml:space="preserve">Activity Increases</w:t>
      </w:r>
      <w:r>
        <w:t xml:space="preserve"> </w:t>
      </w:r>
      <w:r>
        <w:t xml:space="preserve">with</w:t>
      </w:r>
      <w:r>
        <w:t xml:space="preserve"> </w:t>
      </w:r>
      <w:r>
        <w:t xml:space="preserve">Barometric Pressure</w:t>
      </w:r>
      <w:r>
        <w:t xml:space="preserve"> </w:t>
      </w:r>
      <w:r>
        <w:t xml:space="preserve">and</w:t>
      </w:r>
      <w:r>
        <w:t xml:space="preserve"> </w:t>
      </w:r>
      <w:r>
        <w:t xml:space="preserve">Temperature</w:t>
      </w:r>
      <w:r>
        <w:t xml:space="preserve"> </w:t>
      </w:r>
      <w:r>
        <w:t xml:space="preserve">during</w:t>
      </w:r>
      <w:r>
        <w:t xml:space="preserve"> </w:t>
      </w:r>
      <w:r>
        <w:t xml:space="preserve">Autumn</w:t>
      </w:r>
      <w:r>
        <w:t xml:space="preserve"> </w:t>
      </w:r>
      <w:r>
        <w:t xml:space="preserve">in</w:t>
      </w:r>
      <w:r>
        <w:t xml:space="preserve"> </w:t>
      </w:r>
      <w:r>
        <w:t xml:space="preserve">Central Georgia</w:t>
      </w:r>
      <w:r>
        <w:t xml:space="preserve">.</w:t>
      </w:r>
      <w:r>
        <w:t xml:space="preserve"> </w:t>
      </w:r>
      <w:r>
        <w:rPr>
          <w:i/>
          <w:iCs/>
        </w:rPr>
        <w:t xml:space="preserve">Southeastern Naturalist</w:t>
      </w:r>
      <w:r>
        <w:t xml:space="preserve">,</w:t>
      </w:r>
      <w:r>
        <w:t xml:space="preserve"> </w:t>
      </w:r>
      <w:r>
        <w:rPr>
          <w:i/>
          <w:iCs/>
        </w:rPr>
        <w:t xml:space="preserve">14</w:t>
      </w:r>
      <w:r>
        <w:t xml:space="preserve">(2), 231–242.</w:t>
      </w:r>
      <w:r>
        <w:t xml:space="preserve"> </w:t>
      </w:r>
      <w:hyperlink r:id="rId66">
        <w:r>
          <w:rPr>
            <w:rStyle w:val="Hyperlink"/>
          </w:rPr>
          <w:t xml:space="preserve">https://doi.org/10.1656/058.014.0203</w:t>
        </w:r>
      </w:hyperlink>
    </w:p>
    <w:bookmarkEnd w:id="67"/>
    <w:bookmarkStart w:id="69" w:name="ref-boukhariBatActivitySouth2025"/>
    <w:p>
      <w:pPr>
        <w:pStyle w:val="Bibliography"/>
      </w:pPr>
      <w:r>
        <w:t xml:space="preserve">Boukhari, A., Ait-Abdesselam, M., Bissaad, F. Z., Bounaceur, F., Khazar, I., Bouhani, M., &amp; Aulagnier, S. (2025). Bat</w:t>
      </w:r>
      <w:r>
        <w:t xml:space="preserve"> </w:t>
      </w:r>
      <w:r>
        <w:t xml:space="preserve">Activity</w:t>
      </w:r>
      <w:r>
        <w:t xml:space="preserve"> </w:t>
      </w:r>
      <w:r>
        <w:t xml:space="preserve">in</w:t>
      </w:r>
      <w:r>
        <w:t xml:space="preserve"> </w:t>
      </w:r>
      <w:r>
        <w:t xml:space="preserve">South Mediterranean Forests</w:t>
      </w:r>
      <w:r>
        <w:t xml:space="preserve">:</w:t>
      </w:r>
      <w:r>
        <w:t xml:space="preserve"> </w:t>
      </w:r>
      <w:r>
        <w:t xml:space="preserve">A Seasonal Acoustic Survey</w:t>
      </w:r>
      <w:r>
        <w:t xml:space="preserve">.</w:t>
      </w:r>
      <w:r>
        <w:t xml:space="preserve"> </w:t>
      </w:r>
      <w:r>
        <w:rPr>
          <w:i/>
          <w:iCs/>
        </w:rPr>
        <w:t xml:space="preserve">Diversity</w:t>
      </w:r>
      <w:r>
        <w:t xml:space="preserve">,</w:t>
      </w:r>
      <w:r>
        <w:t xml:space="preserve"> </w:t>
      </w:r>
      <w:r>
        <w:rPr>
          <w:i/>
          <w:iCs/>
        </w:rPr>
        <w:t xml:space="preserve">17</w:t>
      </w:r>
      <w:r>
        <w:t xml:space="preserve">(11), 750.</w:t>
      </w:r>
      <w:r>
        <w:t xml:space="preserve"> </w:t>
      </w:r>
      <w:hyperlink r:id="rId68">
        <w:r>
          <w:rPr>
            <w:rStyle w:val="Hyperlink"/>
          </w:rPr>
          <w:t xml:space="preserve">https://doi.org/10.3390/d17110750</w:t>
        </w:r>
      </w:hyperlink>
    </w:p>
    <w:bookmarkEnd w:id="69"/>
    <w:bookmarkStart w:id="71" w:name="ref-brms"/>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Bayesian</w:t>
      </w:r>
      <w:r>
        <w:t xml:space="preserve"> </w:t>
      </w:r>
      <w:r>
        <w:t xml:space="preserve">multilevel models using</w:t>
      </w:r>
      <w:r>
        <w:t xml:space="preserve"> </w:t>
      </w:r>
      <w:r>
        <w:t xml:space="preserve">Stan</w:t>
      </w:r>
      <w:r>
        <w:t xml:space="preserve">.</w:t>
      </w:r>
      <w:r>
        <w:t xml:space="preserve"> </w:t>
      </w:r>
      <w:r>
        <w:rPr>
          <w:i/>
          <w:iCs/>
        </w:rPr>
        <w:t xml:space="preserve">Journal of Statistical Software</w:t>
      </w:r>
      <w:r>
        <w:t xml:space="preserve">,</w:t>
      </w:r>
      <w:r>
        <w:t xml:space="preserve"> </w:t>
      </w:r>
      <w:r>
        <w:rPr>
          <w:i/>
          <w:iCs/>
        </w:rPr>
        <w:t xml:space="preserve">80</w:t>
      </w:r>
      <w:r>
        <w:t xml:space="preserve">(1), 1–28.</w:t>
      </w:r>
      <w:r>
        <w:t xml:space="preserve"> </w:t>
      </w:r>
      <w:hyperlink r:id="rId70">
        <w:r>
          <w:rPr>
            <w:rStyle w:val="Hyperlink"/>
          </w:rPr>
          <w:t xml:space="preserve">https://doi.org/10.18637/jss.v080.i01</w:t>
        </w:r>
      </w:hyperlink>
    </w:p>
    <w:bookmarkEnd w:id="71"/>
    <w:bookmarkStart w:id="73" w:name="ref-posterior"/>
    <w:p>
      <w:pPr>
        <w:pStyle w:val="Bibliography"/>
      </w:pPr>
      <w:r>
        <w:t xml:space="preserve">Bürkner, P.-C., Gabry, J., Kay, M., &amp; Vehtari, A. (2026).</w:t>
      </w:r>
      <w:r>
        <w:t xml:space="preserve"> </w:t>
      </w:r>
      <w:r>
        <w:rPr>
          <w:i/>
          <w:iCs/>
        </w:rPr>
        <w:t xml:space="preserve">Posterior: Tools for working with posterior distributions</w:t>
      </w:r>
      <w:r>
        <w:t xml:space="preserve">.</w:t>
      </w:r>
      <w:r>
        <w:t xml:space="preserve"> </w:t>
      </w:r>
      <w:hyperlink r:id="rId72">
        <w:r>
          <w:rPr>
            <w:rStyle w:val="Hyperlink"/>
          </w:rPr>
          <w:t xml:space="preserve">https://mc-stan.org/posterior/</w:t>
        </w:r>
      </w:hyperlink>
    </w:p>
    <w:bookmarkEnd w:id="73"/>
    <w:bookmarkStart w:id="75" w:name="Xe08152a8680cd517708e6a16e89da695cc90338"/>
    <w:p>
      <w:pPr>
        <w:pStyle w:val="Bibliography"/>
      </w:pPr>
      <w:r>
        <w:t xml:space="preserve">Ciechanowski, M., Zając, T., Biłas, A., &amp; Dunajski, R. (2007). Spatiotemporal variation in activity of bat species differing in hunting tactics: Effects of weather, moonlight, food abundance, and structural clutter.</w:t>
      </w:r>
      <w:r>
        <w:t xml:space="preserve"> </w:t>
      </w:r>
      <w:r>
        <w:rPr>
          <w:i/>
          <w:iCs/>
        </w:rPr>
        <w:t xml:space="preserve">Canadian Journal of Zoology</w:t>
      </w:r>
      <w:r>
        <w:t xml:space="preserve">,</w:t>
      </w:r>
      <w:r>
        <w:t xml:space="preserve"> </w:t>
      </w:r>
      <w:r>
        <w:rPr>
          <w:i/>
          <w:iCs/>
        </w:rPr>
        <w:t xml:space="preserve">85</w:t>
      </w:r>
      <w:r>
        <w:t xml:space="preserve">(12), 1249–1263.</w:t>
      </w:r>
      <w:r>
        <w:t xml:space="preserve"> </w:t>
      </w:r>
      <w:hyperlink r:id="rId74">
        <w:r>
          <w:rPr>
            <w:rStyle w:val="Hyperlink"/>
          </w:rPr>
          <w:t xml:space="preserve">https://doi.org/10.1139/Z07-090</w:t>
        </w:r>
      </w:hyperlink>
    </w:p>
    <w:bookmarkEnd w:id="75"/>
    <w:bookmarkStart w:id="77" w:name="Xa7a1b6f05fb571b259c3c9c485de3212a16d0e3"/>
    <w:p>
      <w:pPr>
        <w:pStyle w:val="Bibliography"/>
      </w:pPr>
      <w:r>
        <w:t xml:space="preserve">Cryan, P. M. (2003). Seasonal</w:t>
      </w:r>
      <w:r>
        <w:t xml:space="preserve"> </w:t>
      </w:r>
      <w:r>
        <w:t xml:space="preserve">Distribution</w:t>
      </w:r>
      <w:r>
        <w:t xml:space="preserve"> </w:t>
      </w:r>
      <w:r>
        <w:t xml:space="preserve">of</w:t>
      </w:r>
      <w:r>
        <w:t xml:space="preserve"> </w:t>
      </w:r>
      <w:r>
        <w:t xml:space="preserve">Migratory Tree Bats</w:t>
      </w:r>
      <w:r>
        <w:t xml:space="preserve"> </w:t>
      </w:r>
      <w:r>
        <w:t xml:space="preserve">(</w:t>
      </w:r>
      <w:r>
        <w:t xml:space="preserve">Lasiurus</w:t>
      </w:r>
      <w:r>
        <w:t xml:space="preserve"> </w:t>
      </w:r>
      <w:r>
        <w:t xml:space="preserve">and</w:t>
      </w:r>
      <w:r>
        <w:t xml:space="preserve"> </w:t>
      </w:r>
      <w:r>
        <w:t xml:space="preserve">Lasionycteris</w:t>
      </w:r>
      <w:r>
        <w:t xml:space="preserve">) in</w:t>
      </w:r>
      <w:r>
        <w:t xml:space="preserve"> </w:t>
      </w:r>
      <w:r>
        <w:t xml:space="preserve">North America</w:t>
      </w:r>
      <w:r>
        <w:t xml:space="preserve">.</w:t>
      </w:r>
      <w:r>
        <w:t xml:space="preserve"> </w:t>
      </w:r>
      <w:r>
        <w:rPr>
          <w:i/>
          <w:iCs/>
        </w:rPr>
        <w:t xml:space="preserve">Journal of Mammalogy</w:t>
      </w:r>
      <w:r>
        <w:t xml:space="preserve">,</w:t>
      </w:r>
      <w:r>
        <w:t xml:space="preserve"> </w:t>
      </w:r>
      <w:r>
        <w:rPr>
          <w:i/>
          <w:iCs/>
        </w:rPr>
        <w:t xml:space="preserve">84</w:t>
      </w:r>
      <w:r>
        <w:t xml:space="preserve">(2), 579–593.</w:t>
      </w:r>
      <w:r>
        <w:t xml:space="preserve"> </w:t>
      </w:r>
      <w:hyperlink r:id="rId76">
        <w:r>
          <w:rPr>
            <w:rStyle w:val="Hyperlink"/>
          </w:rPr>
          <w:t xml:space="preserve">https://doi.org/10.1644/1545-1542(2003)084&lt;0579:SDOMTB&gt;2.0.CO;2</w:t>
        </w:r>
      </w:hyperlink>
    </w:p>
    <w:bookmarkEnd w:id="77"/>
    <w:bookmarkStart w:id="79" w:name="ref-deframondTemperateBatsMay2023"/>
    <w:p>
      <w:pPr>
        <w:pStyle w:val="Bibliography"/>
      </w:pPr>
      <w:r>
        <w:t xml:space="preserve">de Framond, L., Reininger, V., &amp; Goerlitz, H. R.</w:t>
      </w:r>
      <w:r>
        <w:t xml:space="preserve"> (2023). Temperate bats may alter calls to partially compensate for weather-induced changes in detection distance.</w:t>
      </w:r>
      <w:r>
        <w:t xml:space="preserve"> </w:t>
      </w:r>
      <w:r>
        <w:rPr>
          <w:i/>
          <w:iCs/>
        </w:rPr>
        <w:t xml:space="preserve">The Journal of the Acoustical Society of America</w:t>
      </w:r>
      <w:r>
        <w:t xml:space="preserve">,</w:t>
      </w:r>
      <w:r>
        <w:t xml:space="preserve"> </w:t>
      </w:r>
      <w:r>
        <w:rPr>
          <w:i/>
          <w:iCs/>
        </w:rPr>
        <w:t xml:space="preserve">153</w:t>
      </w:r>
      <w:r>
        <w:t xml:space="preserve">(5), 2867–2877.</w:t>
      </w:r>
      <w:r>
        <w:t xml:space="preserve"> </w:t>
      </w:r>
      <w:hyperlink r:id="rId78">
        <w:r>
          <w:rPr>
            <w:rStyle w:val="Hyperlink"/>
          </w:rPr>
          <w:t xml:space="preserve">https://doi.org/10.1121/10.0019359</w:t>
        </w:r>
      </w:hyperlink>
    </w:p>
    <w:bookmarkEnd w:id="79"/>
    <w:bookmarkStart w:id="81" w:name="ref-deeley2022"/>
    <w:p>
      <w:pPr>
        <w:pStyle w:val="Bibliography"/>
      </w:pPr>
      <w:r>
        <w:t xml:space="preserve">Deeley, S., Ford, W. M., Kalen, N. J., Freeze, S. R., St. Germain, M., Muthersbaugh, M., Barr, E., Kniowski, A., Silvis, A., &amp; De La Cruz, J. (2022). Mid-</w:t>
      </w:r>
      <w:r>
        <w:t xml:space="preserve">Atlantic Big Brown</w:t>
      </w:r>
      <w:r>
        <w:t xml:space="preserve"> </w:t>
      </w:r>
      <w:r>
        <w:t xml:space="preserve">and</w:t>
      </w:r>
      <w:r>
        <w:t xml:space="preserve"> </w:t>
      </w:r>
      <w:r>
        <w:t xml:space="preserve">Eastern Red Bats</w:t>
      </w:r>
      <w:r>
        <w:t xml:space="preserve">:</w:t>
      </w:r>
      <w:r>
        <w:t xml:space="preserve"> </w:t>
      </w:r>
      <w:r>
        <w:t xml:space="preserve">Relationships</w:t>
      </w:r>
      <w:r>
        <w:t xml:space="preserve"> </w:t>
      </w:r>
      <w:r>
        <w:t xml:space="preserve">between</w:t>
      </w:r>
      <w:r>
        <w:t xml:space="preserve"> </w:t>
      </w:r>
      <w:r>
        <w:t xml:space="preserve">Acoustic Activity</w:t>
      </w:r>
      <w:r>
        <w:t xml:space="preserve"> </w:t>
      </w:r>
      <w:r>
        <w:t xml:space="preserve">and</w:t>
      </w:r>
      <w:r>
        <w:t xml:space="preserve"> </w:t>
      </w:r>
      <w:r>
        <w:t xml:space="preserve">Reproductive Phenology</w:t>
      </w:r>
      <w:r>
        <w:t xml:space="preserve">.</w:t>
      </w:r>
      <w:r>
        <w:t xml:space="preserve"> </w:t>
      </w:r>
      <w:r>
        <w:rPr>
          <w:i/>
          <w:iCs/>
        </w:rPr>
        <w:t xml:space="preserve">Diversity</w:t>
      </w:r>
      <w:r>
        <w:t xml:space="preserve">,</w:t>
      </w:r>
      <w:r>
        <w:t xml:space="preserve"> </w:t>
      </w:r>
      <w:r>
        <w:rPr>
          <w:i/>
          <w:iCs/>
        </w:rPr>
        <w:t xml:space="preserve">14</w:t>
      </w:r>
      <w:r>
        <w:t xml:space="preserve">(5), 319.</w:t>
      </w:r>
      <w:r>
        <w:t xml:space="preserve"> </w:t>
      </w:r>
      <w:hyperlink r:id="rId80">
        <w:r>
          <w:rPr>
            <w:rStyle w:val="Hyperlink"/>
          </w:rPr>
          <w:t xml:space="preserve">https://doi.org/10.3390/d14050319</w:t>
        </w:r>
      </w:hyperlink>
    </w:p>
    <w:bookmarkEnd w:id="81"/>
    <w:bookmarkStart w:id="83" w:name="ref-escobarSeasonalVariationBat2024"/>
    <w:p>
      <w:pPr>
        <w:pStyle w:val="Bibliography"/>
      </w:pPr>
      <w:r>
        <w:t xml:space="preserve">Escobar, M. A. H., &amp; Villaseñor, N. R. (2024). Seasonal variation of bat activity in an endangered temperate forest in the</w:t>
      </w:r>
      <w:r>
        <w:t xml:space="preserve"> </w:t>
      </w:r>
      <w:r>
        <w:t xml:space="preserve">Chilean</w:t>
      </w:r>
      <w:r>
        <w:t xml:space="preserve"> </w:t>
      </w:r>
      <w:r>
        <w:t xml:space="preserve">biodiversity hotspot.</w:t>
      </w:r>
      <w:r>
        <w:t xml:space="preserve"> </w:t>
      </w:r>
      <w:r>
        <w:rPr>
          <w:i/>
          <w:iCs/>
        </w:rPr>
        <w:t xml:space="preserve">Neotropical Biology and Conservation</w:t>
      </w:r>
      <w:r>
        <w:t xml:space="preserve">,</w:t>
      </w:r>
      <w:r>
        <w:t xml:space="preserve"> </w:t>
      </w:r>
      <w:r>
        <w:rPr>
          <w:i/>
          <w:iCs/>
        </w:rPr>
        <w:t xml:space="preserve">19</w:t>
      </w:r>
      <w:r>
        <w:t xml:space="preserve">(4), 475–494.</w:t>
      </w:r>
      <w:r>
        <w:t xml:space="preserve"> </w:t>
      </w:r>
      <w:hyperlink r:id="rId82">
        <w:r>
          <w:rPr>
            <w:rStyle w:val="Hyperlink"/>
          </w:rPr>
          <w:t xml:space="preserve">https://doi.org/10.3897/neotropical.19.e131710</w:t>
        </w:r>
      </w:hyperlink>
    </w:p>
    <w:bookmarkEnd w:id="83"/>
    <w:bookmarkStart w:id="85" w:name="Xcfa90fa499a7390ecef8de826c877d1b86d31a2"/>
    <w:p>
      <w:pPr>
        <w:pStyle w:val="Bibliography"/>
      </w:pPr>
      <w:r>
        <w:t xml:space="preserve">Fenton, M. B., &amp; Bell, G. P. (1981). Recognition of</w:t>
      </w:r>
      <w:r>
        <w:t xml:space="preserve"> </w:t>
      </w:r>
      <w:r>
        <w:t xml:space="preserve">Species</w:t>
      </w:r>
      <w:r>
        <w:t xml:space="preserve"> </w:t>
      </w:r>
      <w:r>
        <w:t xml:space="preserve">of</w:t>
      </w:r>
      <w:r>
        <w:t xml:space="preserve"> </w:t>
      </w:r>
      <w:r>
        <w:t xml:space="preserve">Insectivorous Bats</w:t>
      </w:r>
      <w:r>
        <w:t xml:space="preserve"> </w:t>
      </w:r>
      <w:r>
        <w:t xml:space="preserve">by</w:t>
      </w:r>
      <w:r>
        <w:t xml:space="preserve"> </w:t>
      </w:r>
      <w:r>
        <w:t xml:space="preserve">Their Echolocation Calls</w:t>
      </w:r>
      <w:r>
        <w:t xml:space="preserve">.</w:t>
      </w:r>
      <w:r>
        <w:t xml:space="preserve"> </w:t>
      </w:r>
      <w:r>
        <w:rPr>
          <w:i/>
          <w:iCs/>
        </w:rPr>
        <w:t xml:space="preserve">Journal of Mammalogy</w:t>
      </w:r>
      <w:r>
        <w:t xml:space="preserve">,</w:t>
      </w:r>
      <w:r>
        <w:t xml:space="preserve"> </w:t>
      </w:r>
      <w:r>
        <w:rPr>
          <w:i/>
          <w:iCs/>
        </w:rPr>
        <w:t xml:space="preserve">62</w:t>
      </w:r>
      <w:r>
        <w:t xml:space="preserve">(2), 233–243.</w:t>
      </w:r>
      <w:r>
        <w:t xml:space="preserve"> </w:t>
      </w:r>
      <w:hyperlink r:id="rId84">
        <w:r>
          <w:rPr>
            <w:rStyle w:val="Hyperlink"/>
          </w:rPr>
          <w:t xml:space="preserve">https://doi.org/10.2307/1380701</w:t>
        </w:r>
      </w:hyperlink>
    </w:p>
    <w:bookmarkEnd w:id="85"/>
    <w:bookmarkStart w:id="87" w:name="ref-cmdstanr"/>
    <w:p>
      <w:pPr>
        <w:pStyle w:val="Bibliography"/>
      </w:pPr>
      <w:r>
        <w:t xml:space="preserve">Gabry, J., Češnovar, R., Johnson, A., &amp; Bronder, S. (2025).</w:t>
      </w:r>
      <w:r>
        <w:t xml:space="preserve"> </w:t>
      </w:r>
      <w:r>
        <w:rPr>
          <w:i/>
          <w:iCs/>
        </w:rPr>
        <w:t xml:space="preserve">Cmdstanr: R interface to ’CmdStan’</w:t>
      </w:r>
      <w:r>
        <w:t xml:space="preserve">.</w:t>
      </w:r>
      <w:r>
        <w:t xml:space="preserve"> </w:t>
      </w:r>
      <w:hyperlink r:id="rId86">
        <w:r>
          <w:rPr>
            <w:rStyle w:val="Hyperlink"/>
          </w:rPr>
          <w:t xml:space="preserve">https://mc-stan.org/cmdstanr/</w:t>
        </w:r>
      </w:hyperlink>
    </w:p>
    <w:bookmarkEnd w:id="87"/>
    <w:bookmarkStart w:id="89" w:name="ref-gregg1994"/>
    <w:p>
      <w:pPr>
        <w:pStyle w:val="Bibliography"/>
      </w:pPr>
      <w:r>
        <w:t xml:space="preserve">Gregg, P. C., Fitt, G. P., Coombs, M., &amp; Henderson, G. S. (1994). Migrating moths collected in tower-mounted light traps in northern</w:t>
      </w:r>
      <w:r>
        <w:t xml:space="preserve"> </w:t>
      </w:r>
      <w:r>
        <w:t xml:space="preserve">New South Wales</w:t>
      </w:r>
      <w:r>
        <w:t xml:space="preserve">,</w:t>
      </w:r>
      <w:r>
        <w:t xml:space="preserve"> </w:t>
      </w:r>
      <w:r>
        <w:t xml:space="preserve">Australia</w:t>
      </w:r>
      <w:r>
        <w:t xml:space="preserve">: Influence of local and synoptic weather.</w:t>
      </w:r>
      <w:r>
        <w:t xml:space="preserve"> </w:t>
      </w:r>
      <w:r>
        <w:rPr>
          <w:i/>
          <w:iCs/>
        </w:rPr>
        <w:t xml:space="preserve">Bulletin of Entomological Research</w:t>
      </w:r>
      <w:r>
        <w:t xml:space="preserve">,</w:t>
      </w:r>
      <w:r>
        <w:t xml:space="preserve"> </w:t>
      </w:r>
      <w:r>
        <w:rPr>
          <w:i/>
          <w:iCs/>
        </w:rPr>
        <w:t xml:space="preserve">84</w:t>
      </w:r>
      <w:r>
        <w:t xml:space="preserve">(1), 17–30.</w:t>
      </w:r>
      <w:r>
        <w:t xml:space="preserve"> </w:t>
      </w:r>
      <w:hyperlink r:id="rId88">
        <w:r>
          <w:rPr>
            <w:rStyle w:val="Hyperlink"/>
          </w:rPr>
          <w:t xml:space="preserve">https://doi.org/10.1017/S0007485300032181</w:t>
        </w:r>
      </w:hyperlink>
    </w:p>
    <w:bookmarkEnd w:id="89"/>
    <w:bookmarkStart w:id="91" w:name="Xf1419335605f8f8ec25f41c91b628cc1aaee6fa"/>
    <w:p>
      <w:pPr>
        <w:pStyle w:val="Bibliography"/>
      </w:pPr>
      <w:r>
        <w:t xml:space="preserve">Griffin, D. R. (1971). The importance of atmospheric attenuation for the echolocation of bats (</w:t>
      </w:r>
      <w:r>
        <w:t xml:space="preserve">Chiroptera</w:t>
      </w:r>
      <w:r>
        <w:t xml:space="preserve">).</w:t>
      </w:r>
      <w:r>
        <w:t xml:space="preserve"> </w:t>
      </w:r>
      <w:r>
        <w:rPr>
          <w:i/>
          <w:iCs/>
        </w:rPr>
        <w:t xml:space="preserve">Animal Behaviour</w:t>
      </w:r>
      <w:r>
        <w:t xml:space="preserve">,</w:t>
      </w:r>
      <w:r>
        <w:t xml:space="preserve"> </w:t>
      </w:r>
      <w:r>
        <w:rPr>
          <w:i/>
          <w:iCs/>
        </w:rPr>
        <w:t xml:space="preserve">19</w:t>
      </w:r>
      <w:r>
        <w:t xml:space="preserve">(1), 55–61.</w:t>
      </w:r>
      <w:r>
        <w:t xml:space="preserve"> </w:t>
      </w:r>
      <w:hyperlink r:id="rId90">
        <w:r>
          <w:rPr>
            <w:rStyle w:val="Hyperlink"/>
          </w:rPr>
          <w:t xml:space="preserve">https://doi.org/10.1016/S0003-3472(71)80134-3</w:t>
        </w:r>
      </w:hyperlink>
    </w:p>
    <w:bookmarkEnd w:id="91"/>
    <w:bookmarkStart w:id="93" w:name="ref-heckerDoesMoonlightChange1999"/>
    <w:p>
      <w:pPr>
        <w:pStyle w:val="Bibliography"/>
      </w:pPr>
      <w:r>
        <w:t xml:space="preserve">Hecker, K. R., &amp; Brigham, R. M. (1999). Does moonlight change vertical stratification of activity by forest-dwelling insectivorous bats?</w:t>
      </w:r>
      <w:r>
        <w:t xml:space="preserve"> </w:t>
      </w:r>
      <w:r>
        <w:rPr>
          <w:i/>
          <w:iCs/>
        </w:rPr>
        <w:t xml:space="preserve">Journal of Mammalogy</w:t>
      </w:r>
      <w:r>
        <w:t xml:space="preserve">,</w:t>
      </w:r>
      <w:r>
        <w:t xml:space="preserve"> </w:t>
      </w:r>
      <w:r>
        <w:rPr>
          <w:i/>
          <w:iCs/>
        </w:rPr>
        <w:t xml:space="preserve">80</w:t>
      </w:r>
      <w:r>
        <w:t xml:space="preserve">(4), 1196–1201.</w:t>
      </w:r>
      <w:r>
        <w:t xml:space="preserve"> </w:t>
      </w:r>
      <w:hyperlink r:id="rId92">
        <w:r>
          <w:rPr>
            <w:rStyle w:val="Hyperlink"/>
          </w:rPr>
          <w:t xml:space="preserve">https://doi.org/10.2307/1383170</w:t>
        </w:r>
      </w:hyperlink>
    </w:p>
    <w:bookmarkEnd w:id="93"/>
    <w:bookmarkStart w:id="95" w:name="ref-hirao2008"/>
    <w:p>
      <w:pPr>
        <w:pStyle w:val="Bibliography"/>
      </w:pPr>
      <w:r>
        <w:t xml:space="preserve">Hirao, T., Murakami, M., &amp; Kashizaki, A. (2008). Effects of mobility on daily attraction to light traps: Comparison between lepidopteran and coleopteran communities.</w:t>
      </w:r>
      <w:r>
        <w:t xml:space="preserve"> </w:t>
      </w:r>
      <w:r>
        <w:rPr>
          <w:i/>
          <w:iCs/>
        </w:rPr>
        <w:t xml:space="preserve">Insect Conservation and Diversity</w:t>
      </w:r>
      <w:r>
        <w:t xml:space="preserve">,</w:t>
      </w:r>
      <w:r>
        <w:t xml:space="preserve"> </w:t>
      </w:r>
      <w:r>
        <w:rPr>
          <w:i/>
          <w:iCs/>
        </w:rPr>
        <w:t xml:space="preserve">1</w:t>
      </w:r>
      <w:r>
        <w:t xml:space="preserve">(1), 32–39.</w:t>
      </w:r>
      <w:r>
        <w:t xml:space="preserve"> </w:t>
      </w:r>
      <w:hyperlink r:id="rId94">
        <w:r>
          <w:rPr>
            <w:rStyle w:val="Hyperlink"/>
          </w:rPr>
          <w:t xml:space="preserve">https://doi.org/10.1111/j.1752-4598.2007.00004.x</w:t>
        </w:r>
      </w:hyperlink>
    </w:p>
    <w:bookmarkEnd w:id="95"/>
    <w:bookmarkStart w:id="97" w:name="ref-jorgeFireLandCover2021"/>
    <w:p>
      <w:pPr>
        <w:pStyle w:val="Bibliography"/>
      </w:pPr>
      <w:r>
        <w:t xml:space="preserve">Jorge, M. H., Sweeten, S. E., True, M. C., Freeze, S. R., Cherry, M. J., Garrison, E. P., Taylor, H., Gorman, K. M., &amp; Ford, W. M. (2021). Fire, land cover, and temperature drivers of bat activity in winter.</w:t>
      </w:r>
      <w:r>
        <w:t xml:space="preserve"> </w:t>
      </w:r>
      <w:r>
        <w:rPr>
          <w:i/>
          <w:iCs/>
        </w:rPr>
        <w:t xml:space="preserve">Fire Ecology</w:t>
      </w:r>
      <w:r>
        <w:t xml:space="preserve">,</w:t>
      </w:r>
      <w:r>
        <w:t xml:space="preserve"> </w:t>
      </w:r>
      <w:r>
        <w:rPr>
          <w:i/>
          <w:iCs/>
        </w:rPr>
        <w:t xml:space="preserve">17</w:t>
      </w:r>
      <w:r>
        <w:t xml:space="preserve">(1), 19.</w:t>
      </w:r>
      <w:r>
        <w:t xml:space="preserve"> </w:t>
      </w:r>
      <w:hyperlink r:id="rId96">
        <w:r>
          <w:rPr>
            <w:rStyle w:val="Hyperlink"/>
          </w:rPr>
          <w:t xml:space="preserve">https://doi.org/10.1186/s42408-021-00105-4</w:t>
        </w:r>
      </w:hyperlink>
    </w:p>
    <w:bookmarkEnd w:id="97"/>
    <w:bookmarkStart w:id="99" w:name="ref-karlssonNoLunarPhobia2002"/>
    <w:p>
      <w:pPr>
        <w:pStyle w:val="Bibliography"/>
      </w:pPr>
      <w:r>
        <w:t xml:space="preserve">Karlsson, B. L., Eklof, J., &amp; Rydell, J. (2002). No lunar phobia in swarming insectivorous bats (family</w:t>
      </w:r>
      <w:r>
        <w:t xml:space="preserve"> </w:t>
      </w:r>
      <w:r>
        <w:t xml:space="preserve">Vespertilionidae</w:t>
      </w:r>
      <w:r>
        <w:t xml:space="preserve">).</w:t>
      </w:r>
      <w:r>
        <w:t xml:space="preserve"> </w:t>
      </w:r>
      <w:r>
        <w:rPr>
          <w:i/>
          <w:iCs/>
        </w:rPr>
        <w:t xml:space="preserve">Journal of Zoology</w:t>
      </w:r>
      <w:r>
        <w:t xml:space="preserve">,</w:t>
      </w:r>
      <w:r>
        <w:t xml:space="preserve"> </w:t>
      </w:r>
      <w:r>
        <w:rPr>
          <w:i/>
          <w:iCs/>
        </w:rPr>
        <w:t xml:space="preserve">256</w:t>
      </w:r>
      <w:r>
        <w:t xml:space="preserve">, 473–477.</w:t>
      </w:r>
      <w:r>
        <w:t xml:space="preserve"> </w:t>
      </w:r>
      <w:hyperlink r:id="rId98">
        <w:r>
          <w:rPr>
            <w:rStyle w:val="Hyperlink"/>
          </w:rPr>
          <w:t xml:space="preserve">https://doi.org/10.1017/s0952836902000511</w:t>
        </w:r>
      </w:hyperlink>
    </w:p>
    <w:bookmarkEnd w:id="99"/>
    <w:bookmarkStart w:id="101" w:name="ref-tidybayes"/>
    <w:p>
      <w:pPr>
        <w:pStyle w:val="Bibliography"/>
      </w:pPr>
      <w:r>
        <w:t xml:space="preserve">Kay, M. (2024).</w:t>
      </w:r>
      <w:r>
        <w:t xml:space="preserve"> </w:t>
      </w:r>
      <w:r>
        <w:rPr>
          <w:i/>
          <w:iCs/>
        </w:rPr>
        <w:t xml:space="preserve">tidybayes</w:t>
      </w:r>
      <w:r>
        <w:rPr>
          <w:i/>
          <w:iCs/>
        </w:rPr>
        <w:t xml:space="preserve">: Tidy data and geoms for</w:t>
      </w:r>
      <w:r>
        <w:rPr>
          <w:i/>
          <w:iCs/>
        </w:rPr>
        <w:t xml:space="preserve"> </w:t>
      </w:r>
      <w:r>
        <w:rPr>
          <w:i/>
          <w:iCs/>
        </w:rPr>
        <w:t xml:space="preserve">Bayesian</w:t>
      </w:r>
      <w:r>
        <w:rPr>
          <w:i/>
          <w:iCs/>
        </w:rPr>
        <w:t xml:space="preserve"> </w:t>
      </w:r>
      <w:r>
        <w:rPr>
          <w:i/>
          <w:iCs/>
        </w:rPr>
        <w:t xml:space="preserve">models</w:t>
      </w:r>
      <w:r>
        <w:t xml:space="preserve">.</w:t>
      </w:r>
      <w:r>
        <w:t xml:space="preserve"> </w:t>
      </w:r>
      <w:hyperlink r:id="rId100">
        <w:r>
          <w:rPr>
            <w:rStyle w:val="Hyperlink"/>
          </w:rPr>
          <w:t xml:space="preserve">https://doi.org/10.5281/zenodo.1308151</w:t>
        </w:r>
      </w:hyperlink>
    </w:p>
    <w:bookmarkEnd w:id="101"/>
    <w:bookmarkStart w:id="103" w:name="X223e39a78b25f5609d66f30a0e9695d9b616ed5"/>
    <w:p>
      <w:pPr>
        <w:pStyle w:val="Bibliography"/>
      </w:pPr>
      <w:r>
        <w:t xml:space="preserve">Lawrence, B. D., &amp; Simmons, J. A. (1982). Measurements of atmospheric attenuation at ultrasonic frequencies and the significance for echolocation by bats.</w:t>
      </w:r>
      <w:r>
        <w:t xml:space="preserve"> </w:t>
      </w:r>
      <w:r>
        <w:rPr>
          <w:i/>
          <w:iCs/>
        </w:rPr>
        <w:t xml:space="preserve">The Journal of the Acoustical Society of America</w:t>
      </w:r>
      <w:r>
        <w:t xml:space="preserve">,</w:t>
      </w:r>
      <w:r>
        <w:t xml:space="preserve"> </w:t>
      </w:r>
      <w:r>
        <w:rPr>
          <w:i/>
          <w:iCs/>
        </w:rPr>
        <w:t xml:space="preserve">71</w:t>
      </w:r>
      <w:r>
        <w:t xml:space="preserve">(3), 585–590.</w:t>
      </w:r>
      <w:r>
        <w:t xml:space="preserve"> </w:t>
      </w:r>
      <w:hyperlink r:id="rId102">
        <w:r>
          <w:rPr>
            <w:rStyle w:val="Hyperlink"/>
          </w:rPr>
          <w:t xml:space="preserve">https://doi.org/10.1121/1.387529</w:t>
        </w:r>
      </w:hyperlink>
    </w:p>
    <w:bookmarkEnd w:id="103"/>
    <w:bookmarkStart w:id="105" w:name="ref-lewis2022"/>
    <w:p>
      <w:pPr>
        <w:pStyle w:val="Bibliography"/>
      </w:pPr>
      <w:r>
        <w:t xml:space="preserve">Lewis, M. A., Turner, G. G., Scafini, M. R., &amp; Johnson, J. S. (2022). Seasonal roost selection and activity of a remnant population of northern myotis in</w:t>
      </w:r>
      <w:r>
        <w:t xml:space="preserve"> </w:t>
      </w:r>
      <w:r>
        <w:t xml:space="preserve">Pennsylvania</w:t>
      </w:r>
      <w:r>
        <w:t xml:space="preserve">.</w:t>
      </w:r>
      <w:r>
        <w:t xml:space="preserve"> </w:t>
      </w:r>
      <w:r>
        <w:rPr>
          <w:i/>
          <w:iCs/>
        </w:rPr>
        <w:t xml:space="preserve">PLOS ONE</w:t>
      </w:r>
      <w:r>
        <w:t xml:space="preserve">,</w:t>
      </w:r>
      <w:r>
        <w:t xml:space="preserve"> </w:t>
      </w:r>
      <w:r>
        <w:rPr>
          <w:i/>
          <w:iCs/>
        </w:rPr>
        <w:t xml:space="preserve">17</w:t>
      </w:r>
      <w:r>
        <w:t xml:space="preserve">(7), e0270478.</w:t>
      </w:r>
      <w:r>
        <w:t xml:space="preserve"> </w:t>
      </w:r>
      <w:hyperlink r:id="rId104">
        <w:r>
          <w:rPr>
            <w:rStyle w:val="Hyperlink"/>
          </w:rPr>
          <w:t xml:space="preserve">https://doi.org/10.1371/journal.pone.0270478</w:t>
        </w:r>
      </w:hyperlink>
    </w:p>
    <w:bookmarkEnd w:id="105"/>
    <w:bookmarkStart w:id="107" w:name="ref-luoGlobalWarmingAlters2014"/>
    <w:p>
      <w:pPr>
        <w:pStyle w:val="Bibliography"/>
      </w:pPr>
      <w:r>
        <w:t xml:space="preserve">Luo, J., Koselj, K., Zsebők, S., Siemers, B. M., &amp; Goerlitz, H. R. (2014). Global warming alters sound transmission: Differential impact on the prey detection ability of echolocating bats.</w:t>
      </w:r>
      <w:r>
        <w:t xml:space="preserve"> </w:t>
      </w:r>
      <w:r>
        <w:rPr>
          <w:i/>
          <w:iCs/>
        </w:rPr>
        <w:t xml:space="preserve">Journal of The Royal Society Interface</w:t>
      </w:r>
      <w:r>
        <w:t xml:space="preserve">,</w:t>
      </w:r>
      <w:r>
        <w:t xml:space="preserve"> </w:t>
      </w:r>
      <w:r>
        <w:rPr>
          <w:i/>
          <w:iCs/>
        </w:rPr>
        <w:t xml:space="preserve">11</w:t>
      </w:r>
      <w:r>
        <w:t xml:space="preserve">(91), 20130961.</w:t>
      </w:r>
      <w:r>
        <w:t xml:space="preserve"> </w:t>
      </w:r>
      <w:hyperlink r:id="rId106">
        <w:r>
          <w:rPr>
            <w:rStyle w:val="Hyperlink"/>
          </w:rPr>
          <w:t xml:space="preserve">https://doi.org/10.1098/rsif.2013.0961</w:t>
        </w:r>
      </w:hyperlink>
    </w:p>
    <w:bookmarkEnd w:id="107"/>
    <w:bookmarkStart w:id="109" w:name="ref-masWinterBatActivity2022"/>
    <w:p>
      <w:pPr>
        <w:pStyle w:val="Bibliography"/>
      </w:pPr>
      <w:r>
        <w:t xml:space="preserve">Mas, M., Flaquer, C., Puig-Montserrat, X., Porres, X., Rebelo, H., &amp; López-Baucells, A. (2022). Winter bat activity:</w:t>
      </w:r>
      <w:r>
        <w:t xml:space="preserve"> </w:t>
      </w:r>
      <w:r>
        <w:t xml:space="preserve">The</w:t>
      </w:r>
      <w:r>
        <w:t xml:space="preserve"> </w:t>
      </w:r>
      <w:r>
        <w:t xml:space="preserve">role of wetlands as food and drinking reservoirs under climate change.</w:t>
      </w:r>
      <w:r>
        <w:t xml:space="preserve"> </w:t>
      </w:r>
      <w:r>
        <w:rPr>
          <w:i/>
          <w:iCs/>
        </w:rPr>
        <w:t xml:space="preserve">Science of The Total Environment</w:t>
      </w:r>
      <w:r>
        <w:t xml:space="preserve">,</w:t>
      </w:r>
      <w:r>
        <w:t xml:space="preserve"> </w:t>
      </w:r>
      <w:r>
        <w:rPr>
          <w:i/>
          <w:iCs/>
        </w:rPr>
        <w:t xml:space="preserve">828</w:t>
      </w:r>
      <w:r>
        <w:t xml:space="preserve">, 154403.</w:t>
      </w:r>
      <w:r>
        <w:t xml:space="preserve"> </w:t>
      </w:r>
      <w:hyperlink r:id="rId108">
        <w:r>
          <w:rPr>
            <w:rStyle w:val="Hyperlink"/>
          </w:rPr>
          <w:t xml:space="preserve">https://doi.org/10.1016/j.scitotenv.2022.154403</w:t>
        </w:r>
      </w:hyperlink>
    </w:p>
    <w:bookmarkEnd w:id="109"/>
    <w:bookmarkStart w:id="111" w:name="ref-meolaLandscapeSeasonInfluence2025"/>
    <w:p>
      <w:pPr>
        <w:pStyle w:val="Bibliography"/>
      </w:pPr>
      <w:r>
        <w:t xml:space="preserve">Meola, V., Ekklisiarchos, I., Cistrone, L., Migliozzi, A., &amp; Russo, D. (2025). Landscape and</w:t>
      </w:r>
      <w:r>
        <w:t xml:space="preserve"> </w:t>
      </w:r>
      <w:r>
        <w:t xml:space="preserve">Season Influence Bat Activity</w:t>
      </w:r>
      <w:r>
        <w:t xml:space="preserve"> </w:t>
      </w:r>
      <w:r>
        <w:t xml:space="preserve">and</w:t>
      </w:r>
      <w:r>
        <w:t xml:space="preserve"> </w:t>
      </w:r>
      <w:r>
        <w:t xml:space="preserve">Richness</w:t>
      </w:r>
      <w:r>
        <w:t xml:space="preserve"> </w:t>
      </w:r>
      <w:r>
        <w:t xml:space="preserve">in a</w:t>
      </w:r>
      <w:r>
        <w:t xml:space="preserve"> </w:t>
      </w:r>
      <w:r>
        <w:t xml:space="preserve">Mediterranean Metropolitan Area</w:t>
      </w:r>
      <w:r>
        <w:t xml:space="preserve">.</w:t>
      </w:r>
      <w:r>
        <w:t xml:space="preserve"> </w:t>
      </w:r>
      <w:r>
        <w:rPr>
          <w:i/>
          <w:iCs/>
        </w:rPr>
        <w:t xml:space="preserve">Ecology and Evolution</w:t>
      </w:r>
      <w:r>
        <w:t xml:space="preserve">,</w:t>
      </w:r>
      <w:r>
        <w:t xml:space="preserve"> </w:t>
      </w:r>
      <w:r>
        <w:rPr>
          <w:i/>
          <w:iCs/>
        </w:rPr>
        <w:t xml:space="preserve">15</w:t>
      </w:r>
      <w:r>
        <w:t xml:space="preserve">(8), e71978.</w:t>
      </w:r>
      <w:r>
        <w:t xml:space="preserve"> </w:t>
      </w:r>
      <w:hyperlink r:id="rId110">
        <w:r>
          <w:rPr>
            <w:rStyle w:val="Hyperlink"/>
          </w:rPr>
          <w:t xml:space="preserve">https://doi.org/10.1002/ece3.71978</w:t>
        </w:r>
      </w:hyperlink>
    </w:p>
    <w:bookmarkEnd w:id="111"/>
    <w:bookmarkStart w:id="113" w:name="ref-metcalfe2023"/>
    <w:p>
      <w:pPr>
        <w:pStyle w:val="Bibliography"/>
      </w:pPr>
      <w:r>
        <w:t xml:space="preserve">Metcalfe, A. N., Fritzinger, C. A., Weller, T. J., Dodrill, M. J., Muehlbauer, J. D., Yackulic, C. B., Holton, P. B., Szydlo, C. M., Durning, L. E., Sankey, J. B., &amp; Kennedy, T. A. (2023). Insectivorous bat foraging tracks the availability of aquatic flies (</w:t>
      </w:r>
      <w:r>
        <w:t xml:space="preserve">Diptera</w:t>
      </w:r>
      <w:r>
        <w:t xml:space="preserve">).</w:t>
      </w:r>
      <w:r>
        <w:t xml:space="preserve"> </w:t>
      </w:r>
      <w:r>
        <w:rPr>
          <w:i/>
          <w:iCs/>
        </w:rPr>
        <w:t xml:space="preserve">The Journal of Wildlife Management</w:t>
      </w:r>
      <w:r>
        <w:t xml:space="preserve">,</w:t>
      </w:r>
      <w:r>
        <w:t xml:space="preserve"> </w:t>
      </w:r>
      <w:r>
        <w:rPr>
          <w:i/>
          <w:iCs/>
        </w:rPr>
        <w:t xml:space="preserve">87</w:t>
      </w:r>
      <w:r>
        <w:t xml:space="preserve">(5), e22414.</w:t>
      </w:r>
      <w:r>
        <w:t xml:space="preserve"> </w:t>
      </w:r>
      <w:hyperlink r:id="rId112">
        <w:r>
          <w:rPr>
            <w:rStyle w:val="Hyperlink"/>
          </w:rPr>
          <w:t xml:space="preserve">https://doi.org/10.1002/jwmg.22414</w:t>
        </w:r>
      </w:hyperlink>
    </w:p>
    <w:bookmarkEnd w:id="113"/>
    <w:bookmarkStart w:id="114" w:name="ref-millerMethodDeterminingRelative2001"/>
    <w:p>
      <w:pPr>
        <w:pStyle w:val="Bibliography"/>
      </w:pPr>
      <w:r>
        <w:t xml:space="preserve">Miller, B. (2001). A method for determining relative activity of free flying bats using a new activity for acoustic monitoring.</w:t>
      </w:r>
      <w:r>
        <w:t xml:space="preserve"> </w:t>
      </w:r>
      <w:r>
        <w:rPr>
          <w:i/>
          <w:iCs/>
        </w:rPr>
        <w:t xml:space="preserve">Acta Chiropterologica</w:t>
      </w:r>
      <w:r>
        <w:t xml:space="preserve">,</w:t>
      </w:r>
      <w:r>
        <w:t xml:space="preserve"> </w:t>
      </w:r>
      <w:r>
        <w:rPr>
          <w:i/>
          <w:iCs/>
        </w:rPr>
        <w:t xml:space="preserve">3</w:t>
      </w:r>
      <w:r>
        <w:t xml:space="preserve">, 93–105.</w:t>
      </w:r>
    </w:p>
    <w:bookmarkEnd w:id="114"/>
    <w:bookmarkStart w:id="116" w:name="ref-milneTemporalPatternsBats2005"/>
    <w:p>
      <w:pPr>
        <w:pStyle w:val="Bibliography"/>
      </w:pPr>
      <w:r>
        <w:t xml:space="preserve">Milne, D. J., Fisher, A., Rainey, I., &amp; Pavey, C. R. (2005). Temporal patterns of bats in the</w:t>
      </w:r>
      <w:r>
        <w:t xml:space="preserve"> </w:t>
      </w:r>
      <w:r>
        <w:t xml:space="preserve">Top End</w:t>
      </w:r>
      <w:r>
        <w:t xml:space="preserve"> </w:t>
      </w:r>
      <w:r>
        <w:t xml:space="preserve">of the</w:t>
      </w:r>
      <w:r>
        <w:t xml:space="preserve"> </w:t>
      </w:r>
      <w:r>
        <w:t xml:space="preserve">Northern Territory</w:t>
      </w:r>
      <w:r>
        <w:t xml:space="preserve">,</w:t>
      </w:r>
      <w:r>
        <w:t xml:space="preserve"> </w:t>
      </w:r>
      <w:r>
        <w:t xml:space="preserve">Australia</w:t>
      </w:r>
      <w:r>
        <w:t xml:space="preserve">.</w:t>
      </w:r>
      <w:r>
        <w:t xml:space="preserve"> </w:t>
      </w:r>
      <w:r>
        <w:rPr>
          <w:i/>
          <w:iCs/>
        </w:rPr>
        <w:t xml:space="preserve">Journal of Mammalogy</w:t>
      </w:r>
      <w:r>
        <w:t xml:space="preserve">,</w:t>
      </w:r>
      <w:r>
        <w:t xml:space="preserve"> </w:t>
      </w:r>
      <w:r>
        <w:rPr>
          <w:i/>
          <w:iCs/>
        </w:rPr>
        <w:t xml:space="preserve">86</w:t>
      </w:r>
      <w:r>
        <w:t xml:space="preserve">(5), 909–920.</w:t>
      </w:r>
      <w:r>
        <w:t xml:space="preserve"> </w:t>
      </w:r>
      <w:hyperlink r:id="rId115">
        <w:r>
          <w:rPr>
            <w:rStyle w:val="Hyperlink"/>
          </w:rPr>
          <w:t xml:space="preserve">https://doi.org/10.1644/1545-1542(2005)86[909:tpobit]2.0.co;2</w:t>
        </w:r>
      </w:hyperlink>
    </w:p>
    <w:bookmarkEnd w:id="116"/>
    <w:bookmarkStart w:id="118" w:name="ref-morrisonLunarPhobiaNeotropical1978"/>
    <w:p>
      <w:pPr>
        <w:pStyle w:val="Bibliography"/>
      </w:pPr>
      <w:r>
        <w:t xml:space="preserve">Morrison, D. W. (1978). Lunar phobia in a neotropical fruit bat,</w:t>
      </w:r>
      <w:r>
        <w:t xml:space="preserve"> </w:t>
      </w:r>
      <w:r>
        <w:rPr>
          <w:i/>
          <w:iCs/>
        </w:rPr>
        <w:t xml:space="preserve">Artibevs</w:t>
      </w:r>
      <w:r>
        <w:t xml:space="preserve"> </w:t>
      </w:r>
      <w:r>
        <w:rPr>
          <w:i/>
          <w:iCs/>
        </w:rPr>
        <w:t xml:space="preserve">Jamaicensis</w:t>
      </w:r>
      <w:r>
        <w:t xml:space="preserve"> </w:t>
      </w:r>
      <w:r>
        <w:t xml:space="preserve">(</w:t>
      </w:r>
      <w:r>
        <w:t xml:space="preserve">Chiroptera</w:t>
      </w:r>
      <w:r>
        <w:t xml:space="preserve">:</w:t>
      </w:r>
      <w:r>
        <w:t xml:space="preserve"> </w:t>
      </w:r>
      <w:r>
        <w:t xml:space="preserve">Phyllostomidae</w:t>
      </w:r>
      <w:r>
        <w:t xml:space="preserve">).</w:t>
      </w:r>
      <w:r>
        <w:t xml:space="preserve"> </w:t>
      </w:r>
      <w:r>
        <w:rPr>
          <w:i/>
          <w:iCs/>
        </w:rPr>
        <w:t xml:space="preserve">Animal Behaviour</w:t>
      </w:r>
      <w:r>
        <w:t xml:space="preserve">,</w:t>
      </w:r>
      <w:r>
        <w:t xml:space="preserve"> </w:t>
      </w:r>
      <w:r>
        <w:rPr>
          <w:i/>
          <w:iCs/>
        </w:rPr>
        <w:t xml:space="preserve">26</w:t>
      </w:r>
      <w:r>
        <w:t xml:space="preserve">, 852–855.</w:t>
      </w:r>
      <w:r>
        <w:t xml:space="preserve"> </w:t>
      </w:r>
      <w:hyperlink r:id="rId117">
        <w:r>
          <w:rPr>
            <w:rStyle w:val="Hyperlink"/>
          </w:rPr>
          <w:t xml:space="preserve">https://doi.org/10.1016/0003-3472(78)90151-3</w:t>
        </w:r>
      </w:hyperlink>
    </w:p>
    <w:bookmarkEnd w:id="118"/>
    <w:bookmarkStart w:id="120" w:name="Xac5d469da426556b76d50a3653d5ff256e5b5b3"/>
    <w:p>
      <w:pPr>
        <w:pStyle w:val="Bibliography"/>
      </w:pPr>
      <w:r>
        <w:t xml:space="preserve">O’Farrell, M. J., Miller, B. W., &amp; Gannon, W. L. (1999). Qualitative</w:t>
      </w:r>
      <w:r>
        <w:t xml:space="preserve"> </w:t>
      </w:r>
      <w:r>
        <w:t xml:space="preserve">Identification</w:t>
      </w:r>
      <w:r>
        <w:t xml:space="preserve"> </w:t>
      </w:r>
      <w:r>
        <w:t xml:space="preserve">of</w:t>
      </w:r>
      <w:r>
        <w:t xml:space="preserve"> </w:t>
      </w:r>
      <w:r>
        <w:t xml:space="preserve">Free-Flying Bats Using</w:t>
      </w:r>
      <w:r>
        <w:t xml:space="preserve"> </w:t>
      </w:r>
      <w:r>
        <w:t xml:space="preserve">the</w:t>
      </w:r>
      <w:r>
        <w:t xml:space="preserve"> </w:t>
      </w:r>
      <w:r>
        <w:t xml:space="preserve">Anabat Detector</w:t>
      </w:r>
      <w:r>
        <w:t xml:space="preserve">.</w:t>
      </w:r>
      <w:r>
        <w:t xml:space="preserve"> </w:t>
      </w:r>
      <w:r>
        <w:rPr>
          <w:i/>
          <w:iCs/>
        </w:rPr>
        <w:t xml:space="preserve">Journal of Mammalogy</w:t>
      </w:r>
      <w:r>
        <w:t xml:space="preserve">,</w:t>
      </w:r>
      <w:r>
        <w:t xml:space="preserve"> </w:t>
      </w:r>
      <w:r>
        <w:rPr>
          <w:i/>
          <w:iCs/>
        </w:rPr>
        <w:t xml:space="preserve">80</w:t>
      </w:r>
      <w:r>
        <w:t xml:space="preserve">(1), 11–23.</w:t>
      </w:r>
      <w:r>
        <w:t xml:space="preserve"> </w:t>
      </w:r>
      <w:hyperlink r:id="rId119">
        <w:r>
          <w:rPr>
            <w:rStyle w:val="Hyperlink"/>
          </w:rPr>
          <w:t xml:space="preserve">https://doi.org/10.2307/1383203</w:t>
        </w:r>
      </w:hyperlink>
    </w:p>
    <w:bookmarkEnd w:id="120"/>
    <w:bookmarkStart w:id="121" w:name="ref-pearlCausality2009"/>
    <w:p>
      <w:pPr>
        <w:pStyle w:val="Bibliography"/>
      </w:pPr>
      <w:r>
        <w:t xml:space="preserve">Pearl, J. (2009).</w:t>
      </w:r>
      <w:r>
        <w:t xml:space="preserve"> </w:t>
      </w:r>
      <w:r>
        <w:rPr>
          <w:i/>
          <w:iCs/>
        </w:rPr>
        <w:t xml:space="preserve">Causality</w:t>
      </w:r>
      <w:r>
        <w:t xml:space="preserve">. Cambridge University Press.</w:t>
      </w:r>
    </w:p>
    <w:bookmarkEnd w:id="121"/>
    <w:bookmarkStart w:id="123" w:name="ref-prughDoesMoonlightIncrease2014"/>
    <w:p>
      <w:pPr>
        <w:pStyle w:val="Bibliography"/>
      </w:pPr>
      <w:r>
        <w:t xml:space="preserve">Prugh, L. R., &amp; Golden, C. D. (2014). Does moonlight increase predation risk?</w:t>
      </w:r>
      <w:r>
        <w:t xml:space="preserve"> </w:t>
      </w:r>
      <w:r>
        <w:t xml:space="preserve">Meta</w:t>
      </w:r>
      <w:r>
        <w:t xml:space="preserve">-analysis reveals divergent responses of nocturnal mammals to lunar cycles.</w:t>
      </w:r>
      <w:r>
        <w:t xml:space="preserve"> </w:t>
      </w:r>
      <w:r>
        <w:rPr>
          <w:i/>
          <w:iCs/>
        </w:rPr>
        <w:t xml:space="preserve">Journal of Animal Ecology</w:t>
      </w:r>
      <w:r>
        <w:t xml:space="preserve">,</w:t>
      </w:r>
      <w:r>
        <w:t xml:space="preserve"> </w:t>
      </w:r>
      <w:r>
        <w:rPr>
          <w:i/>
          <w:iCs/>
        </w:rPr>
        <w:t xml:space="preserve">83</w:t>
      </w:r>
      <w:r>
        <w:t xml:space="preserve">(2), 504–514.</w:t>
      </w:r>
      <w:r>
        <w:t xml:space="preserve"> </w:t>
      </w:r>
      <w:hyperlink r:id="rId122">
        <w:r>
          <w:rPr>
            <w:rStyle w:val="Hyperlink"/>
          </w:rPr>
          <w:t xml:space="preserve">https://doi.org/10.1111/1365-2656.12148</w:t>
        </w:r>
      </w:hyperlink>
    </w:p>
    <w:bookmarkEnd w:id="123"/>
    <w:bookmarkStart w:id="125" w:name="ref-R"/>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124">
        <w:r>
          <w:rPr>
            <w:rStyle w:val="Hyperlink"/>
          </w:rPr>
          <w:t xml:space="preserve">https://doi.org/10.32614/R.manuals</w:t>
        </w:r>
      </w:hyperlink>
    </w:p>
    <w:bookmarkEnd w:id="125"/>
    <w:bookmarkStart w:id="127" w:name="X290b86320d99362f079a0f35ae17f10928d7688"/>
    <w:p>
      <w:pPr>
        <w:pStyle w:val="Bibliography"/>
      </w:pPr>
      <w:r>
        <w:t xml:space="preserve">Russo-Petrick, K. M., &amp; Root, K. V. (2023). Identifying factors across multiple scales that impact bat activity and species richness along roads in a fragmented landscape.</w:t>
      </w:r>
      <w:r>
        <w:t xml:space="preserve"> </w:t>
      </w:r>
      <w:r>
        <w:rPr>
          <w:i/>
          <w:iCs/>
        </w:rPr>
        <w:t xml:space="preserve">Biodiversity and Conservation</w:t>
      </w:r>
      <w:r>
        <w:t xml:space="preserve">,</w:t>
      </w:r>
      <w:r>
        <w:t xml:space="preserve"> </w:t>
      </w:r>
      <w:r>
        <w:rPr>
          <w:i/>
          <w:iCs/>
        </w:rPr>
        <w:t xml:space="preserve">32</w:t>
      </w:r>
      <w:r>
        <w:t xml:space="preserve">(3), 1065–1088.</w:t>
      </w:r>
      <w:r>
        <w:t xml:space="preserve"> </w:t>
      </w:r>
      <w:hyperlink r:id="rId126">
        <w:r>
          <w:rPr>
            <w:rStyle w:val="Hyperlink"/>
          </w:rPr>
          <w:t xml:space="preserve">https://doi.org/10.1007/s10531-022-02538-y</w:t>
        </w:r>
      </w:hyperlink>
    </w:p>
    <w:bookmarkEnd w:id="127"/>
    <w:bookmarkStart w:id="129" w:name="ref-saldana-vazquezLunarPhobiaBats2013"/>
    <w:p>
      <w:pPr>
        <w:pStyle w:val="Bibliography"/>
      </w:pPr>
      <w:r>
        <w:t xml:space="preserve">Saldaña-Vázquez, R. A., &amp; Munguía-Rosas, M. A. (2013). Lunar phobia in bats and its ecological correlates:</w:t>
      </w:r>
      <w:r>
        <w:t xml:space="preserve"> </w:t>
      </w:r>
      <w:r>
        <w:t xml:space="preserve">A</w:t>
      </w:r>
      <w:r>
        <w:t xml:space="preserve"> </w:t>
      </w:r>
      <w:r>
        <w:t xml:space="preserve">meta-analysis.</w:t>
      </w:r>
      <w:r>
        <w:t xml:space="preserve"> </w:t>
      </w:r>
      <w:r>
        <w:rPr>
          <w:i/>
          <w:iCs/>
        </w:rPr>
        <w:t xml:space="preserve">Mammalian Biology</w:t>
      </w:r>
      <w:r>
        <w:t xml:space="preserve">,</w:t>
      </w:r>
      <w:r>
        <w:t xml:space="preserve"> </w:t>
      </w:r>
      <w:r>
        <w:rPr>
          <w:i/>
          <w:iCs/>
        </w:rPr>
        <w:t xml:space="preserve">78</w:t>
      </w:r>
      <w:r>
        <w:t xml:space="preserve">(3), 216–219.</w:t>
      </w:r>
      <w:r>
        <w:t xml:space="preserve"> </w:t>
      </w:r>
      <w:hyperlink r:id="rId128">
        <w:r>
          <w:rPr>
            <w:rStyle w:val="Hyperlink"/>
          </w:rPr>
          <w:t xml:space="preserve">https://doi.org/10.1016/j.mambio.2012.08.004</w:t>
        </w:r>
      </w:hyperlink>
    </w:p>
    <w:bookmarkEnd w:id="129"/>
    <w:bookmarkStart w:id="131" w:name="ref-salvarinaYearRoundBatActivity2023"/>
    <w:p>
      <w:pPr>
        <w:pStyle w:val="Bibliography"/>
      </w:pPr>
      <w:r>
        <w:t xml:space="preserve">Salvarina, I., Georgiakakis, P., Kafkaletou Diez, A., Perivolioti, T.-M., Vassilaki, I., &amp; Kalcounis-Rueppell, M. (2023). Year-</w:t>
      </w:r>
      <w:r>
        <w:t xml:space="preserve">Round Bat Activity</w:t>
      </w:r>
      <w:r>
        <w:t xml:space="preserve"> </w:t>
      </w:r>
      <w:r>
        <w:t xml:space="preserve">and</w:t>
      </w:r>
      <w:r>
        <w:t xml:space="preserve"> </w:t>
      </w:r>
      <w:r>
        <w:t xml:space="preserve">Species Richness Near Temporary Ponds</w:t>
      </w:r>
      <w:r>
        <w:t xml:space="preserve"> </w:t>
      </w:r>
      <w:r>
        <w:t xml:space="preserve">in the</w:t>
      </w:r>
      <w:r>
        <w:t xml:space="preserve"> </w:t>
      </w:r>
      <w:r>
        <w:t xml:space="preserve">Mediterranean Region</w:t>
      </w:r>
      <w:r>
        <w:t xml:space="preserve">.</w:t>
      </w:r>
      <w:r>
        <w:t xml:space="preserve"> </w:t>
      </w:r>
      <w:r>
        <w:rPr>
          <w:i/>
          <w:iCs/>
        </w:rPr>
        <w:t xml:space="preserve">Life</w:t>
      </w:r>
      <w:r>
        <w:t xml:space="preserve">,</w:t>
      </w:r>
      <w:r>
        <w:t xml:space="preserve"> </w:t>
      </w:r>
      <w:r>
        <w:rPr>
          <w:i/>
          <w:iCs/>
        </w:rPr>
        <w:t xml:space="preserve">13</w:t>
      </w:r>
      <w:r>
        <w:t xml:space="preserve">(7), 1495.</w:t>
      </w:r>
      <w:r>
        <w:t xml:space="preserve"> </w:t>
      </w:r>
      <w:hyperlink r:id="rId130">
        <w:r>
          <w:rPr>
            <w:rStyle w:val="Hyperlink"/>
          </w:rPr>
          <w:t xml:space="preserve">https://doi.org/10.3390/life13071495</w:t>
        </w:r>
      </w:hyperlink>
    </w:p>
    <w:bookmarkEnd w:id="131"/>
    <w:bookmarkStart w:id="133" w:name="ref-wellerFirstDirectEvidence2016"/>
    <w:p>
      <w:pPr>
        <w:pStyle w:val="Bibliography"/>
      </w:pPr>
      <w:r>
        <w:t xml:space="preserve">Weller, T. J., Castle, K. T., Liechti, F., Hein, C. D., Schirmacher, M. R., &amp; Cryan, P. M. (2016). First</w:t>
      </w:r>
      <w:r>
        <w:t xml:space="preserve"> </w:t>
      </w:r>
      <w:r>
        <w:t xml:space="preserve">Direct Evidence</w:t>
      </w:r>
      <w:r>
        <w:t xml:space="preserve"> </w:t>
      </w:r>
      <w:r>
        <w:t xml:space="preserve">of</w:t>
      </w:r>
      <w:r>
        <w:t xml:space="preserve"> </w:t>
      </w:r>
      <w:r>
        <w:t xml:space="preserve">Long</w:t>
      </w:r>
      <w:r>
        <w:t xml:space="preserve">-distance</w:t>
      </w:r>
      <w:r>
        <w:t xml:space="preserve"> </w:t>
      </w:r>
      <w:r>
        <w:t xml:space="preserve">Seasonal Movements</w:t>
      </w:r>
      <w:r>
        <w:t xml:space="preserve"> </w:t>
      </w:r>
      <w:r>
        <w:t xml:space="preserve">and</w:t>
      </w:r>
      <w:r>
        <w:t xml:space="preserve"> </w:t>
      </w:r>
      <w:r>
        <w:t xml:space="preserve">Hibernation</w:t>
      </w:r>
      <w:r>
        <w:t xml:space="preserve"> </w:t>
      </w:r>
      <w:r>
        <w:t xml:space="preserve">in a</w:t>
      </w:r>
      <w:r>
        <w:t xml:space="preserve"> </w:t>
      </w:r>
      <w:r>
        <w:t xml:space="preserve">Migratory Bat</w:t>
      </w:r>
      <w:r>
        <w:t xml:space="preserve">.</w:t>
      </w:r>
      <w:r>
        <w:t xml:space="preserve"> </w:t>
      </w:r>
      <w:r>
        <w:rPr>
          <w:i/>
          <w:iCs/>
        </w:rPr>
        <w:t xml:space="preserve">Scientific Reports</w:t>
      </w:r>
      <w:r>
        <w:t xml:space="preserve">,</w:t>
      </w:r>
      <w:r>
        <w:t xml:space="preserve"> </w:t>
      </w:r>
      <w:r>
        <w:rPr>
          <w:i/>
          <w:iCs/>
        </w:rPr>
        <w:t xml:space="preserve">6</w:t>
      </w:r>
      <w:r>
        <w:t xml:space="preserve">(1), 34585.</w:t>
      </w:r>
      <w:r>
        <w:t xml:space="preserve"> </w:t>
      </w:r>
      <w:hyperlink r:id="rId132">
        <w:r>
          <w:rPr>
            <w:rStyle w:val="Hyperlink"/>
          </w:rPr>
          <w:t xml:space="preserve">https://doi.org/10.1038/srep34585</w:t>
        </w:r>
      </w:hyperlink>
    </w:p>
    <w:bookmarkEnd w:id="133"/>
    <w:bookmarkStart w:id="135" w:name="ref-wolbertBatActivityInsect2014"/>
    <w:p>
      <w:pPr>
        <w:pStyle w:val="Bibliography"/>
      </w:pPr>
      <w:r>
        <w:t xml:space="preserve">Wolbert, S. J., Zellner, A. S., &amp; Whidden, H. P. (2014). Bat</w:t>
      </w:r>
      <w:r>
        <w:t xml:space="preserve"> </w:t>
      </w:r>
      <w:r>
        <w:t xml:space="preserve">Activity</w:t>
      </w:r>
      <w:r>
        <w:t xml:space="preserve">,</w:t>
      </w:r>
      <w:r>
        <w:t xml:space="preserve"> </w:t>
      </w:r>
      <w:r>
        <w:t xml:space="preserve">Insect Biomass</w:t>
      </w:r>
      <w:r>
        <w:t xml:space="preserve">, and</w:t>
      </w:r>
      <w:r>
        <w:t xml:space="preserve"> </w:t>
      </w:r>
      <w:r>
        <w:t xml:space="preserve">Temperature Along</w:t>
      </w:r>
      <w:r>
        <w:t xml:space="preserve"> </w:t>
      </w:r>
      <w:r>
        <w:t xml:space="preserve">an</w:t>
      </w:r>
      <w:r>
        <w:t xml:space="preserve"> </w:t>
      </w:r>
      <w:r>
        <w:t xml:space="preserve">Elevational Gradient</w:t>
      </w:r>
      <w:r>
        <w:t xml:space="preserve">.</w:t>
      </w:r>
      <w:r>
        <w:t xml:space="preserve"> </w:t>
      </w:r>
      <w:r>
        <w:rPr>
          <w:i/>
          <w:iCs/>
        </w:rPr>
        <w:t xml:space="preserve">Northeastern Naturalist</w:t>
      </w:r>
      <w:r>
        <w:t xml:space="preserve">,</w:t>
      </w:r>
      <w:r>
        <w:t xml:space="preserve"> </w:t>
      </w:r>
      <w:r>
        <w:rPr>
          <w:i/>
          <w:iCs/>
        </w:rPr>
        <w:t xml:space="preserve">21</w:t>
      </w:r>
      <w:r>
        <w:t xml:space="preserve">(1), 72–85.</w:t>
      </w:r>
      <w:r>
        <w:t xml:space="preserve"> </w:t>
      </w:r>
      <w:hyperlink r:id="rId134">
        <w:r>
          <w:rPr>
            <w:rStyle w:val="Hyperlink"/>
          </w:rPr>
          <w:t xml:space="preserve">https://doi.org/10.1656/045.021.0106</w:t>
        </w:r>
      </w:hyperlink>
    </w:p>
    <w:bookmarkEnd w:id="135"/>
    <w:bookmarkStart w:id="137" w:name="ref-mgcv"/>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w:t>
      </w:r>
      <w:r>
        <w:t xml:space="preserve"> </w:t>
      </w:r>
      <w:r>
        <w:rPr>
          <w:i/>
          <w:iCs/>
        </w:rPr>
        <w:t xml:space="preserve">73</w:t>
      </w:r>
      <w:r>
        <w:t xml:space="preserve">(1), 3–36.</w:t>
      </w:r>
      <w:r>
        <w:t xml:space="preserve"> </w:t>
      </w:r>
      <w:hyperlink r:id="rId136">
        <w:r>
          <w:rPr>
            <w:rStyle w:val="Hyperlink"/>
          </w:rPr>
          <w:t xml:space="preserve">https://doi.org/10.1111/j.1467-9868.2010.00749.x</w:t>
        </w:r>
      </w:hyperlink>
    </w:p>
    <w:bookmarkEnd w:id="137"/>
    <w:bookmarkEnd w:id="138"/>
    <w:p>
      <w:r>
        <w:br w:type="page"/>
      </w:r>
    </w:p>
    <w:bookmarkEnd w:id="139"/>
    <w:bookmarkStart w:id="140" w:name="supplementary-material"/>
    <w:p>
      <w:pPr>
        <w:pStyle w:val="Heading1"/>
      </w:pPr>
      <w:r>
        <w:t xml:space="preserve">Supplementary material</w:t>
      </w:r>
    </w:p>
    <w:p>
      <w:pPr>
        <w:pStyle w:val="FirstParagraph"/>
      </w:pPr>
      <w:r>
        <w:t xml:space="preserve">This supplementary material provides model specifications, sampling and species summaries, model diagnostics, posterior predictive checks, and residual temporal diagnostics supporting the main-text analysis of bat activity in the northern Sierra Nevada.</w:t>
      </w:r>
    </w:p>
    <w:bookmarkEnd w:id="140"/>
    <w:bookmarkStart w:id="153" w:name="supplementary-tables"/>
    <w:p>
      <w:pPr>
        <w:pStyle w:val="Heading1"/>
      </w:pPr>
      <w:r>
        <w:t xml:space="preserve">Supplementary tables</w:t>
      </w:r>
    </w:p>
    <w:p>
      <w:pPr>
        <w:sectPr>
          <w:type w:val="nextPage"/>
          <w:pgSz w:w="12240" w:h="15840"/>
        </w:sectPr>
      </w:pPr>
    </w:p>
    <w:bookmarkStart w:id="142" w:name="table-s1.-final-model-specifications"/>
    <w:p>
      <w:pPr>
        <w:pStyle w:val="Heading2"/>
      </w:pPr>
      <w:r>
        <w:t xml:space="preserve">Table S1. Final model specifications</w:t>
      </w:r>
    </w:p>
    <w:tbl>
      <w:tblPr>
        <w:tblStyle w:val="Table"/>
        <w:tblW w:type="pct" w:w="5000"/>
        <w:tblLayout w:type="fixed"/>
        <w:tblLook w:firstRow="0" w:lastRow="0" w:firstColumn="0" w:lastColumn="0" w:noHBand="0" w:noVBand="0" w:val="0000"/>
      </w:tblPr>
      <w:tblGrid>
        <w:gridCol w:w="7920"/>
      </w:tblGrid>
      <w:tr>
        <w:tc>
          <w:tcPr/>
          <w:bookmarkStart w:id="141" w:name="tbl-s1-model-definitions"/>
          <w:p>
            <w:pPr>
              <w:jc w:val="center"/>
            </w:pPr>
            <w:pPr>
              <w:jc w:val="left"/>
              <w:spacing w:before="200"/>
              <w:pStyle w:val="ImageCaption"/>
            </w:pPr>
            <w:r>
              <w:t xml:space="preserve">Table 3: Final Bayesian generalized additive models used to estimate aggregate and frequency-group bat activity. All models used a negative-binomial response distribution with a log link and site-specific seasonal phenology represented by penalized factor-smooth interactions where applicable.</w:t>
            </w:r>
          </w:p>
          <w:tbl>
            <w:tblPr>
              <w:tblStyle w:val="Table"/>
              <w:tblW w:type="pct" w:w="5000"/>
              <w:tblLayout w:type="fixed"/>
              <w:tblLook w:firstRow="1" w:lastRow="0" w:firstColumn="0" w:lastColumn="0" w:noHBand="0" w:noVBand="0" w:val="0020"/>
            </w:tblPr>
            <w:tblGrid>
              <w:gridCol w:w="1335"/>
              <w:gridCol w:w="1105"/>
              <w:gridCol w:w="3867"/>
              <w:gridCol w:w="1059"/>
              <w:gridCol w:w="552"/>
            </w:tblGrid>
            <w:tr>
              <w:trPr>
                <w:tblHeader w:val="on"/>
              </w:trPr>
              <w:tc>
                <w:tcPr/>
                <w:p>
                  <w:pPr>
                    <w:pStyle w:val="Compact"/>
                    <w:jc w:val="left"/>
                    <w:jc w:val="center"/>
                  </w:pPr>
                  <w:r>
                    <w:t xml:space="preserve">Model</w:t>
                  </w:r>
                </w:p>
              </w:tc>
              <w:tc>
                <w:tcPr/>
                <w:p>
                  <w:pPr>
                    <w:pStyle w:val="Compact"/>
                    <w:jc w:val="left"/>
                    <w:jc w:val="center"/>
                  </w:pPr>
                  <w:r>
                    <w:t xml:space="preserve">Response</w:t>
                  </w:r>
                </w:p>
              </w:tc>
              <w:tc>
                <w:tcPr/>
                <w:p>
                  <w:pPr>
                    <w:pStyle w:val="Compact"/>
                    <w:jc w:val="left"/>
                    <w:jc w:val="center"/>
                  </w:pPr>
                  <w:r>
                    <w:t xml:space="preserve">Formula</w:t>
                  </w:r>
                </w:p>
              </w:tc>
              <w:tc>
                <w:tcPr/>
                <w:p>
                  <w:pPr>
                    <w:pStyle w:val="Compact"/>
                    <w:jc w:val="left"/>
                    <w:jc w:val="center"/>
                  </w:pPr>
                  <w:r>
                    <w:t xml:space="preserve">Likelihood</w:t>
                  </w:r>
                </w:p>
              </w:tc>
              <w:tc>
                <w:tcPr/>
                <w:p>
                  <w:pPr>
                    <w:pStyle w:val="Compact"/>
                    <w:jc w:val="right"/>
                    <w:jc w:val="center"/>
                  </w:pPr>
                  <w:r>
                    <w:t xml:space="preserve">Site-nights</w:t>
                  </w:r>
                </w:p>
              </w:tc>
            </w:tr>
            <w:tr>
              <w:tc>
                <w:tcPr/>
                <w:p>
                  <w:pPr>
                    <w:pStyle w:val="Compact"/>
                    <w:jc w:val="left"/>
                    <w:jc w:val="center"/>
                  </w:pPr>
                  <w:r>
                    <w:t xml:space="preserve">Aggregate seasonal</w:t>
                  </w:r>
                </w:p>
              </w:tc>
              <w:tc>
                <w:tcPr/>
                <w:p>
                  <w:pPr>
                    <w:pStyle w:val="Compact"/>
                    <w:jc w:val="left"/>
                    <w:jc w:val="center"/>
                  </w:pPr>
                  <w:r>
                    <w:t xml:space="preserve">Aggregate activity</w:t>
                  </w:r>
                </w:p>
              </w:tc>
              <w:tc>
                <w:tcPr/>
                <w:p>
                  <w:pPr>
                    <w:pStyle w:val="Compact"/>
                    <w:jc w:val="left"/>
                    <w:jc w:val="center"/>
                  </w:pPr>
                  <w:r>
                    <w:t xml:space="preserve">n ~ s(doy) + s(doy, Site, bs =</w:t>
                  </w:r>
                  <w:r>
                    <w:t xml:space="preserve"> </w:t>
                  </w:r>
                  <w:r>
                    <w:t xml:space="preserve">“fs”</w:t>
                  </w:r>
                  <w:r>
                    <w:t xml:space="preserve">)</w:t>
                  </w:r>
                </w:p>
              </w:tc>
              <w:tc>
                <w:tcPr/>
                <w:p>
                  <w:pPr>
                    <w:pStyle w:val="Compact"/>
                    <w:jc w:val="left"/>
                    <w:jc w:val="center"/>
                  </w:pPr>
                  <w:r>
                    <w:t xml:space="preserve">negbinomial (log link)</w:t>
                  </w:r>
                </w:p>
              </w:tc>
              <w:tc>
                <w:tcPr/>
                <w:p>
                  <w:pPr>
                    <w:pStyle w:val="Compact"/>
                    <w:jc w:val="right"/>
                    <w:jc w:val="center"/>
                  </w:pPr>
                  <w:r>
                    <w:t xml:space="preserve">1056</w:t>
                  </w:r>
                </w:p>
              </w:tc>
            </w:tr>
            <w:tr>
              <w:tc>
                <w:tcPr/>
                <w:p>
                  <w:pPr>
                    <w:pStyle w:val="Compact"/>
                    <w:jc w:val="left"/>
                    <w:jc w:val="center"/>
                  </w:pPr>
                  <w:r>
                    <w:t xml:space="preserve">Aggregate environmental</w:t>
                  </w:r>
                </w:p>
              </w:tc>
              <w:tc>
                <w:tcPr/>
                <w:p>
                  <w:pPr>
                    <w:pStyle w:val="Compact"/>
                    <w:jc w:val="left"/>
                    <w:jc w:val="center"/>
                  </w:pPr>
                  <w:r>
                    <w:t xml:space="preserve">Aggregate activity</w:t>
                  </w:r>
                </w:p>
              </w:tc>
              <w:tc>
                <w:tcPr/>
                <w:p>
                  <w:pPr>
                    <w:pStyle w:val="Compact"/>
                    <w:jc w:val="left"/>
                    <w:jc w:val="center"/>
                  </w:pPr>
                  <w:r>
                    <w:t xml:space="preserve">n ~ s(doy) + s(doy, Site, bs =</w:t>
                  </w:r>
                  <w:r>
                    <w:t xml:space="preserve"> </w:t>
                  </w:r>
                  <w:r>
                    <w:t xml:space="preserve">“fs”</w:t>
                  </w:r>
                  <w:r>
                    <w:t xml:space="preserve">) + s(scale_averh) + s(scale_avetemp) + s(Lunar)</w:t>
                  </w:r>
                </w:p>
              </w:tc>
              <w:tc>
                <w:tcPr/>
                <w:p>
                  <w:pPr>
                    <w:pStyle w:val="Compact"/>
                    <w:jc w:val="left"/>
                    <w:jc w:val="center"/>
                  </w:pPr>
                  <w:r>
                    <w:t xml:space="preserve">negbinomial (log link)</w:t>
                  </w:r>
                </w:p>
              </w:tc>
              <w:tc>
                <w:tcPr/>
                <w:p>
                  <w:pPr>
                    <w:pStyle w:val="Compact"/>
                    <w:jc w:val="right"/>
                    <w:jc w:val="center"/>
                  </w:pPr>
                  <w:r>
                    <w:t xml:space="preserve">1056</w:t>
                  </w:r>
                </w:p>
              </w:tc>
            </w:tr>
            <w:tr>
              <w:tc>
                <w:tcPr/>
                <w:p>
                  <w:pPr>
                    <w:pStyle w:val="Compact"/>
                    <w:jc w:val="left"/>
                    <w:jc w:val="center"/>
                  </w:pPr>
                  <w:r>
                    <w:t xml:space="preserve">Low-frequency environmental</w:t>
                  </w:r>
                </w:p>
              </w:tc>
              <w:tc>
                <w:tcPr/>
                <w:p>
                  <w:pPr>
                    <w:pStyle w:val="Compact"/>
                    <w:jc w:val="left"/>
                    <w:jc w:val="center"/>
                  </w:pPr>
                  <w:r>
                    <w:t xml:space="preserve">Low-frequency activity</w:t>
                  </w:r>
                </w:p>
              </w:tc>
              <w:tc>
                <w:tcPr/>
                <w:p>
                  <w:pPr>
                    <w:pStyle w:val="Compact"/>
                    <w:jc w:val="left"/>
                    <w:jc w:val="center"/>
                  </w:pPr>
                  <w:r>
                    <w:t xml:space="preserve">n ~ s(doy) + s(doy, Site, bs =</w:t>
                  </w:r>
                  <w:r>
                    <w:t xml:space="preserve"> </w:t>
                  </w:r>
                  <w:r>
                    <w:t xml:space="preserve">“fs”</w:t>
                  </w:r>
                  <w:r>
                    <w:t xml:space="preserve">) + s(scale_averh) + s(scale_avetemp) + s(Lunar)</w:t>
                  </w:r>
                </w:p>
              </w:tc>
              <w:tc>
                <w:tcPr/>
                <w:p>
                  <w:pPr>
                    <w:pStyle w:val="Compact"/>
                    <w:jc w:val="left"/>
                    <w:jc w:val="center"/>
                  </w:pPr>
                  <w:r>
                    <w:t xml:space="preserve">negbinomial (log link)</w:t>
                  </w:r>
                </w:p>
              </w:tc>
              <w:tc>
                <w:tcPr/>
                <w:p>
                  <w:pPr>
                    <w:pStyle w:val="Compact"/>
                    <w:jc w:val="right"/>
                    <w:jc w:val="center"/>
                  </w:pPr>
                  <w:r>
                    <w:t xml:space="preserve">1056</w:t>
                  </w:r>
                </w:p>
              </w:tc>
            </w:tr>
            <w:tr>
              <w:tc>
                <w:tcPr/>
                <w:p>
                  <w:pPr>
                    <w:pStyle w:val="Compact"/>
                    <w:jc w:val="left"/>
                    <w:jc w:val="center"/>
                  </w:pPr>
                  <w:r>
                    <w:t xml:space="preserve">Mid-frequency environmental</w:t>
                  </w:r>
                </w:p>
              </w:tc>
              <w:tc>
                <w:tcPr/>
                <w:p>
                  <w:pPr>
                    <w:pStyle w:val="Compact"/>
                    <w:jc w:val="left"/>
                    <w:jc w:val="center"/>
                  </w:pPr>
                  <w:r>
                    <w:t xml:space="preserve">Mid-frequency activity</w:t>
                  </w:r>
                </w:p>
              </w:tc>
              <w:tc>
                <w:tcPr/>
                <w:p>
                  <w:pPr>
                    <w:pStyle w:val="Compact"/>
                    <w:jc w:val="left"/>
                    <w:jc w:val="center"/>
                  </w:pPr>
                  <w:r>
                    <w:t xml:space="preserve">n ~ s(doy) + s(doy, Site, bs =</w:t>
                  </w:r>
                  <w:r>
                    <w:t xml:space="preserve"> </w:t>
                  </w:r>
                  <w:r>
                    <w:t xml:space="preserve">“fs”</w:t>
                  </w:r>
                  <w:r>
                    <w:t xml:space="preserve">) + s(scale_averh) + s(scale_avetemp) + s(Lunar)</w:t>
                  </w:r>
                </w:p>
              </w:tc>
              <w:tc>
                <w:tcPr/>
                <w:p>
                  <w:pPr>
                    <w:pStyle w:val="Compact"/>
                    <w:jc w:val="left"/>
                    <w:jc w:val="center"/>
                  </w:pPr>
                  <w:r>
                    <w:t xml:space="preserve">negbinomial (log link)</w:t>
                  </w:r>
                </w:p>
              </w:tc>
              <w:tc>
                <w:tcPr/>
                <w:p>
                  <w:pPr>
                    <w:pStyle w:val="Compact"/>
                    <w:jc w:val="right"/>
                    <w:jc w:val="center"/>
                  </w:pPr>
                  <w:r>
                    <w:t xml:space="preserve">1056</w:t>
                  </w:r>
                </w:p>
              </w:tc>
            </w:tr>
            <w:tr>
              <w:tc>
                <w:tcPr/>
                <w:p>
                  <w:pPr>
                    <w:pStyle w:val="Compact"/>
                    <w:jc w:val="left"/>
                    <w:jc w:val="center"/>
                  </w:pPr>
                  <w:r>
                    <w:t xml:space="preserve">High-frequency environmental</w:t>
                  </w:r>
                </w:p>
              </w:tc>
              <w:tc>
                <w:tcPr/>
                <w:p>
                  <w:pPr>
                    <w:pStyle w:val="Compact"/>
                    <w:jc w:val="left"/>
                    <w:jc w:val="center"/>
                  </w:pPr>
                  <w:r>
                    <w:t xml:space="preserve">High-frequency activity</w:t>
                  </w:r>
                </w:p>
              </w:tc>
              <w:tc>
                <w:tcPr/>
                <w:p>
                  <w:pPr>
                    <w:pStyle w:val="Compact"/>
                    <w:jc w:val="left"/>
                    <w:jc w:val="center"/>
                  </w:pPr>
                  <w:r>
                    <w:t xml:space="preserve">n ~ s(doy) + s(doy, Site, bs =</w:t>
                  </w:r>
                  <w:r>
                    <w:t xml:space="preserve"> </w:t>
                  </w:r>
                  <w:r>
                    <w:t xml:space="preserve">“fs”</w:t>
                  </w:r>
                  <w:r>
                    <w:t xml:space="preserve">) + s(scale_averh) + s(scale_avetemp) + s(Lunar)</w:t>
                  </w:r>
                </w:p>
              </w:tc>
              <w:tc>
                <w:tcPr/>
                <w:p>
                  <w:pPr>
                    <w:pStyle w:val="Compact"/>
                    <w:jc w:val="left"/>
                    <w:jc w:val="center"/>
                  </w:pPr>
                  <w:r>
                    <w:t xml:space="preserve">negbinomial (log link)</w:t>
                  </w:r>
                </w:p>
              </w:tc>
              <w:tc>
                <w:tcPr/>
                <w:p>
                  <w:pPr>
                    <w:pStyle w:val="Compact"/>
                    <w:jc w:val="right"/>
                    <w:jc w:val="center"/>
                  </w:pPr>
                  <w:r>
                    <w:t xml:space="preserve">1056</w:t>
                  </w:r>
                </w:p>
              </w:tc>
            </w:tr>
          </w:tbl>
          <w:bookmarkEnd w:id="141"/>
          <w:p/>
        </w:tc>
      </w:tr>
    </w:tbl>
    <w:p>
      <w:r>
        <w:br w:type="page"/>
      </w:r>
    </w:p>
    <w:bookmarkEnd w:id="142"/>
    <w:bookmarkStart w:id="144" w:name="Xab193a75d0e15ebe5ff1b85fd27eb5353f6da36"/>
    <w:p>
      <w:pPr>
        <w:pStyle w:val="Heading2"/>
      </w:pPr>
      <w:r>
        <w:t xml:space="preserve">Table S2. Aggregate-model sampling diagnostics</w:t>
      </w:r>
    </w:p>
    <w:tbl>
      <w:tblPr>
        <w:tblStyle w:val="Table"/>
        <w:tblW w:type="pct" w:w="5000"/>
        <w:tblLayout w:type="fixed"/>
        <w:tblLook w:firstRow="0" w:lastRow="0" w:firstColumn="0" w:lastColumn="0" w:noHBand="0" w:noVBand="0" w:val="0000"/>
      </w:tblPr>
      <w:tblGrid>
        <w:gridCol w:w="7920"/>
      </w:tblGrid>
      <w:tr>
        <w:tc>
          <w:tcPr/>
          <w:bookmarkStart w:id="143" w:name="tbl-s2-aggregate-diagnostics"/>
          <w:p>
            <w:pPr>
              <w:jc w:val="center"/>
            </w:pPr>
            <w:pPr>
              <w:jc w:val="left"/>
              <w:spacing w:before="200"/>
              <w:pStyle w:val="ImageCaption"/>
            </w:pPr>
            <w:r>
              <w:t xml:space="preserve">Table 4: MCMC sampling diagnostics for the final aggregate seasonal and conditional environmental models. Negative-binomial shape is summarized by the posterior median and 89% credible interval.</w:t>
            </w:r>
          </w:p>
          <w:tbl>
            <w:tblPr>
              <w:tblStyle w:val="Table"/>
              <w:tblW w:type="pct" w:w="5000"/>
              <w:tblLayout w:type="fixed"/>
              <w:tblLook w:firstRow="1" w:lastRow="0" w:firstColumn="0" w:lastColumn="0" w:noHBand="0" w:noVBand="0" w:val="0020"/>
            </w:tblPr>
            <w:tblGrid>
              <w:gridCol w:w="979"/>
              <w:gridCol w:w="489"/>
              <w:gridCol w:w="734"/>
              <w:gridCol w:w="571"/>
              <w:gridCol w:w="694"/>
              <w:gridCol w:w="694"/>
              <w:gridCol w:w="489"/>
              <w:gridCol w:w="1061"/>
              <w:gridCol w:w="653"/>
              <w:gridCol w:w="775"/>
              <w:gridCol w:w="775"/>
            </w:tblGrid>
            <w:tr>
              <w:trPr>
                <w:tblHeader w:val="on"/>
              </w:trPr>
              <w:tc>
                <w:tcPr/>
                <w:p>
                  <w:pPr>
                    <w:pStyle w:val="Compact"/>
                    <w:jc w:val="left"/>
                    <w:jc w:val="center"/>
                  </w:pPr>
                  <w:r>
                    <w:t xml:space="preserve">Model</w:t>
                  </w:r>
                </w:p>
              </w:tc>
              <w:tc>
                <w:tcPr/>
                <w:p>
                  <w:pPr>
                    <w:pStyle w:val="Compact"/>
                    <w:jc w:val="right"/>
                    <w:jc w:val="center"/>
                  </w:pPr>
                  <w:r>
                    <w:t xml:space="preserve">Site-nights</w:t>
                  </w:r>
                </w:p>
              </w:tc>
              <w:tc>
                <w:tcPr/>
                <w:p>
                  <w:pPr>
                    <w:pStyle w:val="Compact"/>
                    <w:jc w:val="right"/>
                    <w:jc w:val="center"/>
                  </w:pPr>
                  <w:r>
                    <w:t xml:space="preserve">Post-warmup draws</w:t>
                  </w:r>
                </w:p>
              </w:tc>
              <w:tc>
                <w:tcPr/>
                <w:p>
                  <w:pPr>
                    <w:pStyle w:val="Compact"/>
                    <w:jc w:val="right"/>
                    <w:jc w:val="center"/>
                  </w:pPr>
                  <w:r>
                    <w:t xml:space="preserve">Maximum R-hat</w:t>
                  </w:r>
                </w:p>
              </w:tc>
              <w:tc>
                <w:tcPr/>
                <w:p>
                  <w:pPr>
                    <w:pStyle w:val="Compact"/>
                    <w:jc w:val="right"/>
                    <w:jc w:val="center"/>
                  </w:pPr>
                  <w:r>
                    <w:t xml:space="preserve">Minimum bulk ESS</w:t>
                  </w:r>
                </w:p>
              </w:tc>
              <w:tc>
                <w:tcPr/>
                <w:p>
                  <w:pPr>
                    <w:pStyle w:val="Compact"/>
                    <w:jc w:val="right"/>
                    <w:jc w:val="center"/>
                  </w:pPr>
                  <w:r>
                    <w:t xml:space="preserve">Minimum tail ESS</w:t>
                  </w:r>
                </w:p>
              </w:tc>
              <w:tc>
                <w:tcPr/>
                <w:p>
                  <w:pPr>
                    <w:pStyle w:val="Compact"/>
                    <w:jc w:val="right"/>
                    <w:jc w:val="center"/>
                  </w:pPr>
                  <w:r>
                    <w:t xml:space="preserve">Divergences</w:t>
                  </w:r>
                </w:p>
              </w:tc>
              <w:tc>
                <w:tcPr/>
                <w:p>
                  <w:pPr>
                    <w:pStyle w:val="Compact"/>
                    <w:jc w:val="right"/>
                    <w:jc w:val="center"/>
                  </w:pPr>
                  <w:r>
                    <w:t xml:space="preserve">Max-treedepth transitions</w:t>
                  </w:r>
                </w:p>
              </w:tc>
              <w:tc>
                <w:tcPr/>
                <w:p>
                  <w:pPr>
                    <w:pStyle w:val="Compact"/>
                    <w:jc w:val="right"/>
                    <w:jc w:val="center"/>
                  </w:pPr>
                  <w:r>
                    <w:t xml:space="preserve">NB shape median</w:t>
                  </w:r>
                </w:p>
              </w:tc>
              <w:tc>
                <w:tcPr/>
                <w:p>
                  <w:pPr>
                    <w:pStyle w:val="Compact"/>
                    <w:jc w:val="right"/>
                    <w:jc w:val="center"/>
                  </w:pPr>
                  <w:r>
                    <w:t xml:space="preserve">NB shape lower 89%</w:t>
                  </w:r>
                </w:p>
              </w:tc>
              <w:tc>
                <w:tcPr/>
                <w:p>
                  <w:pPr>
                    <w:pStyle w:val="Compact"/>
                    <w:jc w:val="right"/>
                    <w:jc w:val="center"/>
                  </w:pPr>
                  <w:r>
                    <w:t xml:space="preserve">NB shape upper 89%</w:t>
                  </w:r>
                </w:p>
              </w:tc>
            </w:tr>
            <w:tr>
              <w:tc>
                <w:tcPr/>
                <w:p>
                  <w:pPr>
                    <w:pStyle w:val="Compact"/>
                    <w:jc w:val="left"/>
                    <w:jc w:val="center"/>
                  </w:pPr>
                  <w:r>
                    <w:t xml:space="preserve">Aggregate seasonal</w:t>
                  </w:r>
                </w:p>
              </w:tc>
              <w:tc>
                <w:tcPr/>
                <w:p>
                  <w:pPr>
                    <w:pStyle w:val="Compact"/>
                    <w:jc w:val="right"/>
                    <w:jc w:val="center"/>
                  </w:pPr>
                  <w:r>
                    <w:t xml:space="preserve">1056</w:t>
                  </w:r>
                </w:p>
              </w:tc>
              <w:tc>
                <w:tcPr/>
                <w:p>
                  <w:pPr>
                    <w:pStyle w:val="Compact"/>
                    <w:jc w:val="right"/>
                    <w:jc w:val="center"/>
                  </w:pPr>
                  <w:r>
                    <w:t xml:space="preserve">12000</w:t>
                  </w:r>
                </w:p>
              </w:tc>
              <w:tc>
                <w:tcPr/>
                <w:p>
                  <w:pPr>
                    <w:pStyle w:val="Compact"/>
                    <w:jc w:val="right"/>
                    <w:jc w:val="center"/>
                  </w:pPr>
                  <w:r>
                    <w:t xml:space="preserve">1</w:t>
                  </w:r>
                </w:p>
              </w:tc>
              <w:tc>
                <w:tcPr/>
                <w:p>
                  <w:pPr>
                    <w:pStyle w:val="Compact"/>
                    <w:jc w:val="right"/>
                    <w:jc w:val="center"/>
                  </w:pPr>
                  <w:r>
                    <w:t xml:space="preserve">2175</w:t>
                  </w:r>
                </w:p>
              </w:tc>
              <w:tc>
                <w:tcPr/>
                <w:p>
                  <w:pPr>
                    <w:pStyle w:val="Compact"/>
                    <w:jc w:val="right"/>
                    <w:jc w:val="center"/>
                  </w:pPr>
                  <w:r>
                    <w:t xml:space="preserve">4238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4.28</w:t>
                  </w:r>
                </w:p>
              </w:tc>
              <w:tc>
                <w:tcPr/>
                <w:p>
                  <w:pPr>
                    <w:pStyle w:val="Compact"/>
                    <w:jc w:val="right"/>
                    <w:jc w:val="center"/>
                  </w:pPr>
                  <w:r>
                    <w:t xml:space="preserve">3.92</w:t>
                  </w:r>
                </w:p>
              </w:tc>
              <w:tc>
                <w:tcPr/>
                <w:p>
                  <w:pPr>
                    <w:pStyle w:val="Compact"/>
                    <w:jc w:val="right"/>
                    <w:jc w:val="center"/>
                  </w:pPr>
                  <w:r>
                    <w:t xml:space="preserve">4.67</w:t>
                  </w:r>
                </w:p>
              </w:tc>
            </w:tr>
            <w:tr>
              <w:tc>
                <w:tcPr/>
                <w:p>
                  <w:pPr>
                    <w:pStyle w:val="Compact"/>
                    <w:jc w:val="left"/>
                    <w:jc w:val="center"/>
                  </w:pPr>
                  <w:r>
                    <w:t xml:space="preserve">Aggregate environmental</w:t>
                  </w:r>
                </w:p>
              </w:tc>
              <w:tc>
                <w:tcPr/>
                <w:p>
                  <w:pPr>
                    <w:pStyle w:val="Compact"/>
                    <w:jc w:val="right"/>
                    <w:jc w:val="center"/>
                  </w:pPr>
                  <w:r>
                    <w:t xml:space="preserve">1056</w:t>
                  </w:r>
                </w:p>
              </w:tc>
              <w:tc>
                <w:tcPr/>
                <w:p>
                  <w:pPr>
                    <w:pStyle w:val="Compact"/>
                    <w:jc w:val="right"/>
                    <w:jc w:val="center"/>
                  </w:pPr>
                  <w:r>
                    <w:t xml:space="preserve">12000</w:t>
                  </w:r>
                </w:p>
              </w:tc>
              <w:tc>
                <w:tcPr/>
                <w:p>
                  <w:pPr>
                    <w:pStyle w:val="Compact"/>
                    <w:jc w:val="right"/>
                    <w:jc w:val="center"/>
                  </w:pPr>
                  <w:r>
                    <w:t xml:space="preserve">1</w:t>
                  </w:r>
                </w:p>
              </w:tc>
              <w:tc>
                <w:tcPr/>
                <w:p>
                  <w:pPr>
                    <w:pStyle w:val="Compact"/>
                    <w:jc w:val="right"/>
                    <w:jc w:val="center"/>
                  </w:pPr>
                  <w:r>
                    <w:t xml:space="preserve">1865</w:t>
                  </w:r>
                </w:p>
              </w:tc>
              <w:tc>
                <w:tcPr/>
                <w:p>
                  <w:pPr>
                    <w:pStyle w:val="Compact"/>
                    <w:jc w:val="right"/>
                    <w:jc w:val="center"/>
                  </w:pPr>
                  <w:r>
                    <w:t xml:space="preserve">2712</w:t>
                  </w:r>
                </w:p>
              </w:tc>
              <w:tc>
                <w:tcPr/>
                <w:p>
                  <w:pPr>
                    <w:pStyle w:val="Compact"/>
                    <w:jc w:val="right"/>
                    <w:jc w:val="center"/>
                  </w:pPr>
                  <w:r>
                    <w:t xml:space="preserve">0</w:t>
                  </w:r>
                </w:p>
              </w:tc>
              <w:tc>
                <w:tcPr/>
                <w:p>
                  <w:pPr>
                    <w:pStyle w:val="Compact"/>
                    <w:jc w:val="right"/>
                    <w:jc w:val="center"/>
                  </w:pPr>
                  <w:r>
                    <w:t xml:space="preserve">7</w:t>
                  </w:r>
                </w:p>
              </w:tc>
              <w:tc>
                <w:tcPr/>
                <w:p>
                  <w:pPr>
                    <w:pStyle w:val="Compact"/>
                    <w:jc w:val="right"/>
                    <w:jc w:val="center"/>
                  </w:pPr>
                  <w:r>
                    <w:t xml:space="preserve">8.52</w:t>
                  </w:r>
                </w:p>
              </w:tc>
              <w:tc>
                <w:tcPr/>
                <w:p>
                  <w:pPr>
                    <w:pStyle w:val="Compact"/>
                    <w:jc w:val="right"/>
                    <w:jc w:val="center"/>
                  </w:pPr>
                  <w:r>
                    <w:t xml:space="preserve">7.66</w:t>
                  </w:r>
                </w:p>
              </w:tc>
              <w:tc>
                <w:tcPr/>
                <w:p>
                  <w:pPr>
                    <w:pStyle w:val="Compact"/>
                    <w:jc w:val="right"/>
                    <w:jc w:val="center"/>
                  </w:pPr>
                  <w:r>
                    <w:t xml:space="preserve">9.46</w:t>
                  </w:r>
                </w:p>
              </w:tc>
            </w:tr>
          </w:tbl>
          <w:bookmarkEnd w:id="143"/>
          <w:p/>
        </w:tc>
      </w:tr>
    </w:tbl>
    <w:bookmarkEnd w:id="144"/>
    <w:bookmarkStart w:id="146" w:name="X1092e94e5ecfb0b0af5f858dcf03ebea1a8dba3"/>
    <w:p>
      <w:pPr>
        <w:pStyle w:val="Heading2"/>
      </w:pPr>
      <w:r>
        <w:t xml:space="preserve">Table S3. Frequency-group model sampling diagnostics</w:t>
      </w:r>
    </w:p>
    <w:tbl>
      <w:tblPr>
        <w:tblStyle w:val="Table"/>
        <w:tblW w:type="pct" w:w="5000"/>
        <w:tblLayout w:type="fixed"/>
        <w:tblLook w:firstRow="0" w:lastRow="0" w:firstColumn="0" w:lastColumn="0" w:noHBand="0" w:noVBand="0" w:val="0000"/>
      </w:tblPr>
      <w:tblGrid>
        <w:gridCol w:w="7920"/>
      </w:tblGrid>
      <w:tr>
        <w:tc>
          <w:tcPr/>
          <w:bookmarkStart w:id="145" w:name="tbl-s3-frequency-diagnostics"/>
          <w:p>
            <w:pPr>
              <w:jc w:val="center"/>
            </w:pPr>
            <w:pPr>
              <w:jc w:val="left"/>
              <w:spacing w:before="200"/>
              <w:pStyle w:val="ImageCaption"/>
            </w:pPr>
            <w:r>
              <w:t xml:space="preserve">Table 5: MCMC sampling diagnostics for the final low-, mid-, and high-frequency conditional environmental models. Negative-binomial shape is summarized by the posterior median and 89% credible interval.</w:t>
            </w:r>
          </w:p>
          <w:tbl>
            <w:tblPr>
              <w:tblStyle w:val="Table"/>
              <w:tblW w:type="pct" w:w="5000"/>
              <w:tblLayout w:type="fixed"/>
              <w:tblLook w:firstRow="1" w:lastRow="0" w:firstColumn="0" w:lastColumn="0" w:noHBand="0" w:noVBand="0" w:val="0020"/>
            </w:tblPr>
            <w:tblGrid>
              <w:gridCol w:w="870"/>
              <w:gridCol w:w="497"/>
              <w:gridCol w:w="746"/>
              <w:gridCol w:w="580"/>
              <w:gridCol w:w="704"/>
              <w:gridCol w:w="704"/>
              <w:gridCol w:w="497"/>
              <w:gridCol w:w="1078"/>
              <w:gridCol w:w="663"/>
              <w:gridCol w:w="787"/>
              <w:gridCol w:w="787"/>
            </w:tblGrid>
            <w:tr>
              <w:trPr>
                <w:tblHeader w:val="on"/>
              </w:trPr>
              <w:tc>
                <w:tcPr/>
                <w:p>
                  <w:pPr>
                    <w:pStyle w:val="Compact"/>
                    <w:jc w:val="left"/>
                    <w:jc w:val="center"/>
                  </w:pPr>
                  <w:r>
                    <w:t xml:space="preserve">Model</w:t>
                  </w:r>
                </w:p>
              </w:tc>
              <w:tc>
                <w:tcPr/>
                <w:p>
                  <w:pPr>
                    <w:pStyle w:val="Compact"/>
                    <w:jc w:val="right"/>
                    <w:jc w:val="center"/>
                  </w:pPr>
                  <w:r>
                    <w:t xml:space="preserve">Site-nights</w:t>
                  </w:r>
                </w:p>
              </w:tc>
              <w:tc>
                <w:tcPr/>
                <w:p>
                  <w:pPr>
                    <w:pStyle w:val="Compact"/>
                    <w:jc w:val="right"/>
                    <w:jc w:val="center"/>
                  </w:pPr>
                  <w:r>
                    <w:t xml:space="preserve">Post-warmup draws</w:t>
                  </w:r>
                </w:p>
              </w:tc>
              <w:tc>
                <w:tcPr/>
                <w:p>
                  <w:pPr>
                    <w:pStyle w:val="Compact"/>
                    <w:jc w:val="right"/>
                    <w:jc w:val="center"/>
                  </w:pPr>
                  <w:r>
                    <w:t xml:space="preserve">Maximum R-hat</w:t>
                  </w:r>
                </w:p>
              </w:tc>
              <w:tc>
                <w:tcPr/>
                <w:p>
                  <w:pPr>
                    <w:pStyle w:val="Compact"/>
                    <w:jc w:val="right"/>
                    <w:jc w:val="center"/>
                  </w:pPr>
                  <w:r>
                    <w:t xml:space="preserve">Minimum bulk ESS</w:t>
                  </w:r>
                </w:p>
              </w:tc>
              <w:tc>
                <w:tcPr/>
                <w:p>
                  <w:pPr>
                    <w:pStyle w:val="Compact"/>
                    <w:jc w:val="right"/>
                    <w:jc w:val="center"/>
                  </w:pPr>
                  <w:r>
                    <w:t xml:space="preserve">Minimum tail ESS</w:t>
                  </w:r>
                </w:p>
              </w:tc>
              <w:tc>
                <w:tcPr/>
                <w:p>
                  <w:pPr>
                    <w:pStyle w:val="Compact"/>
                    <w:jc w:val="right"/>
                    <w:jc w:val="center"/>
                  </w:pPr>
                  <w:r>
                    <w:t xml:space="preserve">Divergences</w:t>
                  </w:r>
                </w:p>
              </w:tc>
              <w:tc>
                <w:tcPr/>
                <w:p>
                  <w:pPr>
                    <w:pStyle w:val="Compact"/>
                    <w:jc w:val="right"/>
                    <w:jc w:val="center"/>
                  </w:pPr>
                  <w:r>
                    <w:t xml:space="preserve">Max-treedepth transitions</w:t>
                  </w:r>
                </w:p>
              </w:tc>
              <w:tc>
                <w:tcPr/>
                <w:p>
                  <w:pPr>
                    <w:pStyle w:val="Compact"/>
                    <w:jc w:val="right"/>
                    <w:jc w:val="center"/>
                  </w:pPr>
                  <w:r>
                    <w:t xml:space="preserve">NB shape median</w:t>
                  </w:r>
                </w:p>
              </w:tc>
              <w:tc>
                <w:tcPr/>
                <w:p>
                  <w:pPr>
                    <w:pStyle w:val="Compact"/>
                    <w:jc w:val="right"/>
                    <w:jc w:val="center"/>
                  </w:pPr>
                  <w:r>
                    <w:t xml:space="preserve">NB shape lower 89%</w:t>
                  </w:r>
                </w:p>
              </w:tc>
              <w:tc>
                <w:tcPr/>
                <w:p>
                  <w:pPr>
                    <w:pStyle w:val="Compact"/>
                    <w:jc w:val="right"/>
                    <w:jc w:val="center"/>
                  </w:pPr>
                  <w:r>
                    <w:t xml:space="preserve">NB shape upper 89%</w:t>
                  </w:r>
                </w:p>
              </w:tc>
            </w:tr>
            <w:tr>
              <w:tc>
                <w:tcPr/>
                <w:p>
                  <w:pPr>
                    <w:pStyle w:val="Compact"/>
                    <w:jc w:val="left"/>
                    <w:jc w:val="center"/>
                  </w:pPr>
                  <w:r>
                    <w:t xml:space="preserve">Low-frequency group</w:t>
                  </w:r>
                </w:p>
              </w:tc>
              <w:tc>
                <w:tcPr/>
                <w:p>
                  <w:pPr>
                    <w:pStyle w:val="Compact"/>
                    <w:jc w:val="right"/>
                    <w:jc w:val="center"/>
                  </w:pPr>
                  <w:r>
                    <w:t xml:space="preserve">1056</w:t>
                  </w:r>
                </w:p>
              </w:tc>
              <w:tc>
                <w:tcPr/>
                <w:p>
                  <w:pPr>
                    <w:pStyle w:val="Compact"/>
                    <w:jc w:val="right"/>
                    <w:jc w:val="center"/>
                  </w:pPr>
                  <w:r>
                    <w:t xml:space="preserve">12000</w:t>
                  </w:r>
                </w:p>
              </w:tc>
              <w:tc>
                <w:tcPr/>
                <w:p>
                  <w:pPr>
                    <w:pStyle w:val="Compact"/>
                    <w:jc w:val="right"/>
                    <w:jc w:val="center"/>
                  </w:pPr>
                  <w:r>
                    <w:t xml:space="preserve">1</w:t>
                  </w:r>
                </w:p>
              </w:tc>
              <w:tc>
                <w:tcPr/>
                <w:p>
                  <w:pPr>
                    <w:pStyle w:val="Compact"/>
                    <w:jc w:val="right"/>
                    <w:jc w:val="center"/>
                  </w:pPr>
                  <w:r>
                    <w:t xml:space="preserve">2984</w:t>
                  </w:r>
                </w:p>
              </w:tc>
              <w:tc>
                <w:tcPr/>
                <w:p>
                  <w:pPr>
                    <w:pStyle w:val="Compact"/>
                    <w:jc w:val="right"/>
                    <w:jc w:val="center"/>
                  </w:pPr>
                  <w:r>
                    <w:t xml:space="preserve">4306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2.02</w:t>
                  </w:r>
                </w:p>
              </w:tc>
              <w:tc>
                <w:tcPr/>
                <w:p>
                  <w:pPr>
                    <w:pStyle w:val="Compact"/>
                    <w:jc w:val="right"/>
                    <w:jc w:val="center"/>
                  </w:pPr>
                  <w:r>
                    <w:t xml:space="preserve">1.78</w:t>
                  </w:r>
                </w:p>
              </w:tc>
              <w:tc>
                <w:tcPr/>
                <w:p>
                  <w:pPr>
                    <w:pStyle w:val="Compact"/>
                    <w:jc w:val="right"/>
                    <w:jc w:val="center"/>
                  </w:pPr>
                  <w:r>
                    <w:t xml:space="preserve">2.28</w:t>
                  </w:r>
                </w:p>
              </w:tc>
            </w:tr>
            <w:tr>
              <w:tc>
                <w:tcPr/>
                <w:p>
                  <w:pPr>
                    <w:pStyle w:val="Compact"/>
                    <w:jc w:val="left"/>
                    <w:jc w:val="center"/>
                  </w:pPr>
                  <w:r>
                    <w:t xml:space="preserve">Mid-frequency group</w:t>
                  </w:r>
                </w:p>
              </w:tc>
              <w:tc>
                <w:tcPr/>
                <w:p>
                  <w:pPr>
                    <w:pStyle w:val="Compact"/>
                    <w:jc w:val="right"/>
                    <w:jc w:val="center"/>
                  </w:pPr>
                  <w:r>
                    <w:t xml:space="preserve">1056</w:t>
                  </w:r>
                </w:p>
              </w:tc>
              <w:tc>
                <w:tcPr/>
                <w:p>
                  <w:pPr>
                    <w:pStyle w:val="Compact"/>
                    <w:jc w:val="right"/>
                    <w:jc w:val="center"/>
                  </w:pPr>
                  <w:r>
                    <w:t xml:space="preserve">12000</w:t>
                  </w:r>
                </w:p>
              </w:tc>
              <w:tc>
                <w:tcPr/>
                <w:p>
                  <w:pPr>
                    <w:pStyle w:val="Compact"/>
                    <w:jc w:val="right"/>
                    <w:jc w:val="center"/>
                  </w:pPr>
                  <w:r>
                    <w:t xml:space="preserve">1</w:t>
                  </w:r>
                </w:p>
              </w:tc>
              <w:tc>
                <w:tcPr/>
                <w:p>
                  <w:pPr>
                    <w:pStyle w:val="Compact"/>
                    <w:jc w:val="right"/>
                    <w:jc w:val="center"/>
                  </w:pPr>
                  <w:r>
                    <w:t xml:space="preserve">1799</w:t>
                  </w:r>
                </w:p>
              </w:tc>
              <w:tc>
                <w:tcPr/>
                <w:p>
                  <w:pPr>
                    <w:pStyle w:val="Compact"/>
                    <w:jc w:val="right"/>
                    <w:jc w:val="center"/>
                  </w:pPr>
                  <w:r>
                    <w:t xml:space="preserve">2165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3.22</w:t>
                  </w:r>
                </w:p>
              </w:tc>
              <w:tc>
                <w:tcPr/>
                <w:p>
                  <w:pPr>
                    <w:pStyle w:val="Compact"/>
                    <w:jc w:val="right"/>
                    <w:jc w:val="center"/>
                  </w:pPr>
                  <w:r>
                    <w:t xml:space="preserve">2.90</w:t>
                  </w:r>
                </w:p>
              </w:tc>
              <w:tc>
                <w:tcPr/>
                <w:p>
                  <w:pPr>
                    <w:pStyle w:val="Compact"/>
                    <w:jc w:val="right"/>
                    <w:jc w:val="center"/>
                  </w:pPr>
                  <w:r>
                    <w:t xml:space="preserve">3.58</w:t>
                  </w:r>
                </w:p>
              </w:tc>
            </w:tr>
            <w:tr>
              <w:tc>
                <w:tcPr/>
                <w:p>
                  <w:pPr>
                    <w:pStyle w:val="Compact"/>
                    <w:jc w:val="left"/>
                    <w:jc w:val="center"/>
                  </w:pPr>
                  <w:r>
                    <w:t xml:space="preserve">High-frequency group</w:t>
                  </w:r>
                </w:p>
              </w:tc>
              <w:tc>
                <w:tcPr/>
                <w:p>
                  <w:pPr>
                    <w:pStyle w:val="Compact"/>
                    <w:jc w:val="right"/>
                    <w:jc w:val="center"/>
                  </w:pPr>
                  <w:r>
                    <w:t xml:space="preserve">1056</w:t>
                  </w:r>
                </w:p>
              </w:tc>
              <w:tc>
                <w:tcPr/>
                <w:p>
                  <w:pPr>
                    <w:pStyle w:val="Compact"/>
                    <w:jc w:val="right"/>
                    <w:jc w:val="center"/>
                  </w:pPr>
                  <w:r>
                    <w:t xml:space="preserve">12000</w:t>
                  </w:r>
                </w:p>
              </w:tc>
              <w:tc>
                <w:tcPr/>
                <w:p>
                  <w:pPr>
                    <w:pStyle w:val="Compact"/>
                    <w:jc w:val="right"/>
                    <w:jc w:val="center"/>
                  </w:pPr>
                  <w:r>
                    <w:t xml:space="preserve">1</w:t>
                  </w:r>
                </w:p>
              </w:tc>
              <w:tc>
                <w:tcPr/>
                <w:p>
                  <w:pPr>
                    <w:pStyle w:val="Compact"/>
                    <w:jc w:val="right"/>
                    <w:jc w:val="center"/>
                  </w:pPr>
                  <w:r>
                    <w:t xml:space="preserve">1696</w:t>
                  </w:r>
                </w:p>
              </w:tc>
              <w:tc>
                <w:tcPr/>
                <w:p>
                  <w:pPr>
                    <w:pStyle w:val="Compact"/>
                    <w:jc w:val="right"/>
                    <w:jc w:val="center"/>
                  </w:pPr>
                  <w:r>
                    <w:t xml:space="preserve">2437</w:t>
                  </w:r>
                </w:p>
              </w:tc>
              <w:tc>
                <w:tcPr/>
                <w:p>
                  <w:pPr>
                    <w:pStyle w:val="Compact"/>
                    <w:jc w:val="right"/>
                    <w:jc w:val="center"/>
                  </w:pPr>
                  <w:r>
                    <w:t xml:space="preserve">0</w:t>
                  </w:r>
                </w:p>
              </w:tc>
              <w:tc>
                <w:tcPr/>
                <w:p>
                  <w:pPr>
                    <w:pStyle w:val="Compact"/>
                    <w:jc w:val="right"/>
                    <w:jc w:val="center"/>
                  </w:pPr>
                  <w:r>
                    <w:t xml:space="preserve">3012</w:t>
                  </w:r>
                </w:p>
              </w:tc>
              <w:tc>
                <w:tcPr/>
                <w:p>
                  <w:pPr>
                    <w:pStyle w:val="Compact"/>
                    <w:jc w:val="right"/>
                    <w:jc w:val="center"/>
                  </w:pPr>
                  <w:r>
                    <w:t xml:space="preserve">10.01</w:t>
                  </w:r>
                </w:p>
              </w:tc>
              <w:tc>
                <w:tcPr/>
                <w:p>
                  <w:pPr>
                    <w:pStyle w:val="Compact"/>
                    <w:jc w:val="right"/>
                    <w:jc w:val="center"/>
                  </w:pPr>
                  <w:r>
                    <w:t xml:space="preserve">8.82</w:t>
                  </w:r>
                </w:p>
              </w:tc>
              <w:tc>
                <w:tcPr/>
                <w:p>
                  <w:pPr>
                    <w:pStyle w:val="Compact"/>
                    <w:jc w:val="right"/>
                    <w:jc w:val="center"/>
                  </w:pPr>
                  <w:r>
                    <w:t xml:space="preserve">11.38</w:t>
                  </w:r>
                </w:p>
              </w:tc>
            </w:tr>
          </w:tbl>
          <w:bookmarkEnd w:id="145"/>
          <w:p/>
        </w:tc>
      </w:tr>
    </w:tbl>
    <w:bookmarkEnd w:id="146"/>
    <w:bookmarkStart w:id="148" w:name="X213b332144e57f0080ba56bed0fa70790a729b7"/>
    <w:p>
      <w:pPr>
        <w:pStyle w:val="Heading2"/>
      </w:pPr>
      <w:r>
        <w:t xml:space="preserve">Table S4. Species composition and characteristic echolocation-frequency groups</w:t>
      </w:r>
    </w:p>
    <w:tbl>
      <w:tblPr>
        <w:tblStyle w:val="Table"/>
        <w:tblW w:type="pct" w:w="5000"/>
        <w:tblLayout w:type="fixed"/>
        <w:tblLook w:firstRow="0" w:lastRow="0" w:firstColumn="0" w:lastColumn="0" w:noHBand="0" w:noVBand="0" w:val="0000"/>
      </w:tblPr>
      <w:tblGrid>
        <w:gridCol w:w="7920"/>
      </w:tblGrid>
      <w:tr>
        <w:tc>
          <w:tcPr/>
          <w:bookmarkStart w:id="147" w:name="tbl-s4-species"/>
          <w:p>
            <w:pPr>
              <w:jc w:val="center"/>
            </w:pPr>
            <w:pPr>
              <w:jc w:val="left"/>
              <w:spacing w:before="200"/>
              <w:pStyle w:val="ImageCaption"/>
            </w:pPr>
            <w:r>
              <w:t xml:space="preserve">Table 6: Bat species included in the analysis, characteristic echolocation frequency, assigned frequency group, total number of 5-min detection intervals, and number of retained site-nights on which each species was detected.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2736"/>
              <w:gridCol w:w="2880"/>
              <w:gridCol w:w="1656"/>
              <w:gridCol w:w="1296"/>
              <w:gridCol w:w="1152"/>
              <w:gridCol w:w="1224"/>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Species code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Scientific name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Common name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Characteristic frequency (kHz)</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Frequency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intervals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Site-nights detected</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EUDMAC</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Euderma maculatum</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Spotted bat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EUMPER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Eumops perotis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Western mastiff bat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LASCIN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Lasiurus cinereus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Hoary bat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TADBRA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Tadarida brasiliensis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Mexican free-tailed bat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LASNOC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Lasionycteris noctivagans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Silver-haired bat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EPTFUS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Eptesicus fuscus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Big brown bat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CORTOW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Corynorhinus townsendii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Townsend's big-eared bat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ANTPAL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Antrozous pallidus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Pallid bat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MYOTHY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Myotis thysanodes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Fringed myotis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MYOEVO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Myotis evotis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Long-eared myotis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Mid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MYOVOL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Myotis volans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Long-legged myotis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MYOLUC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Myotis lucifugus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Little brown myotis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LASBLO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Lasiurus blossevillii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Western red bat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PARHES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Parastrellus hesperus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Canyon bat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MYOCIL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Myotis ciliolabrum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Western small-footed myotis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MYOYUM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Myotis yumanensis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Yuma myotis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MYOCAL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Myotis californicus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California myotis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High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769</w:t>
                  </w:r>
                </w:p>
              </w:tc>
            </w:tr>
          </w:tbl>
          <w:bookmarkEnd w:id="147"/>
        </w:tc>
      </w:tr>
    </w:tbl>
    <w:p>
      <w:r>
        <w:br w:type="page"/>
      </w:r>
    </w:p>
    <w:bookmarkEnd w:id="148"/>
    <w:bookmarkStart w:id="150" w:name="Xa9ebd402fba8153fb09ad730b7f40a671fef0fe"/>
    <w:p>
      <w:pPr>
        <w:pStyle w:val="Heading2"/>
      </w:pPr>
      <w:r>
        <w:t xml:space="preserve">Table S5. Retained sampling effort by site</w:t>
      </w:r>
    </w:p>
    <w:tbl>
      <w:tblPr>
        <w:tblStyle w:val="Table"/>
        <w:tblW w:type="pct" w:w="5000"/>
        <w:tblLayout w:type="fixed"/>
        <w:tblLook w:firstRow="0" w:lastRow="0" w:firstColumn="0" w:lastColumn="0" w:noHBand="0" w:noVBand="0" w:val="0000"/>
      </w:tblPr>
      <w:tblGrid>
        <w:gridCol w:w="7920"/>
      </w:tblGrid>
      <w:tr>
        <w:tc>
          <w:tcPr/>
          <w:bookmarkStart w:id="149" w:name="tbl-s5-detector-effort"/>
          <w:p>
            <w:pPr>
              <w:jc w:val="center"/>
            </w:pPr>
            <w:pPr>
              <w:jc w:val="left"/>
              <w:spacing w:before="200"/>
              <w:pStyle w:val="ImageCaption"/>
            </w:pPr>
            <w:r>
              <w:t xml:space="preserve">Table 7: Retained acoustic sampling effort and activity summaries by site after nights without usable acoustic recordings were excluded. Zero-activity nights are sampled nights with usable recordings but no accepted bat detections.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36"/>
              <w:gridCol w:w="1296"/>
              <w:gridCol w:w="1224"/>
              <w:gridCol w:w="1440"/>
              <w:gridCol w:w="1440"/>
              <w:gridCol w:w="1440"/>
              <w:gridCol w:w="1440"/>
              <w:gridCol w:w="144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Retained site-nights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Zero-activity nights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Total activity intervals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Mean intervals per night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Median intervals per night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First retained night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Last retained night</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BUC3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35,057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2015-04-22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2015-10-17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BUL11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2015-04-24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2015-10-14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BUL18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2015-04-25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2015-07-31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BUL4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2015-04-24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2015-09-17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GRP1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2015-04-24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2015-10-14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GRP5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2015-04-24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2015-10-14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LBL5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2015-04-24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2015-10-14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THL1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2015-07-24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2015-10-14</w:t>
                  </w:r>
                </w:p>
              </w:tc>
            </w:tr>
          </w:tbl>
          <w:bookmarkEnd w:id="149"/>
        </w:tc>
      </w:tr>
    </w:tbl>
    <w:p>
      <w:pPr>
        <w:sectPr>
          <w:type w:val="nextPage"/>
          <w:pgSz w:w="15840" w:h="12240" w:orient="landscape"/>
        </w:sectPr>
      </w:pPr>
    </w:p>
    <w:bookmarkEnd w:id="150"/>
    <w:bookmarkStart w:id="152" w:name="Xfa796ae688acff8bb805193225fdfc08142f618"/>
    <w:p>
      <w:pPr>
        <w:pStyle w:val="Heading2"/>
      </w:pPr>
      <w:r>
        <w:t xml:space="preserve">Table S6. Software and computational environment</w:t>
      </w:r>
    </w:p>
    <w:tbl>
      <w:tblPr>
        <w:tblStyle w:val="Table"/>
        <w:tblW w:type="pct" w:w="5000"/>
        <w:tblLayout w:type="fixed"/>
        <w:tblLook w:firstRow="0" w:lastRow="0" w:firstColumn="0" w:lastColumn="0" w:noHBand="0" w:noVBand="0" w:val="0000"/>
      </w:tblPr>
      <w:tblGrid>
        <w:gridCol w:w="7920"/>
      </w:tblGrid>
      <w:tr>
        <w:tc>
          <w:tcPr/>
          <w:bookmarkStart w:id="151" w:name="tbl-s6-software"/>
          <w:p>
            <w:pPr>
              <w:jc w:val="center"/>
            </w:pPr>
            <w:pPr>
              <w:jc w:val="left"/>
              <w:spacing w:before="200"/>
              <w:pStyle w:val="ImageCaption"/>
            </w:pPr>
            <w:r>
              <w:t xml:space="preserve">Table 8: Software and package versions used in the final analysis.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Software</w:t>
                  </w:r>
                </w:p>
              </w:tc>
              <w:tc>
                <w:tcPr/>
                <w:p>
                  <w:pPr>
                    <w:pStyle w:val="Compact"/>
                    <w:jc w:val="left"/>
                    <w:jc w:val="center"/>
                  </w:pPr>
                  <w:r>
                    <w:t xml:space="preserve">Version</w:t>
                  </w:r>
                </w:p>
              </w:tc>
            </w:tr>
            <w:tr>
              <w:tc>
                <w:tcPr/>
                <w:p>
                  <w:pPr>
                    <w:pStyle w:val="Compact"/>
                    <w:jc w:val="left"/>
                    <w:jc w:val="center"/>
                  </w:pPr>
                  <w:r>
                    <w:t xml:space="preserve">R</w:t>
                  </w:r>
                </w:p>
              </w:tc>
              <w:tc>
                <w:tcPr/>
                <w:p>
                  <w:pPr>
                    <w:pStyle w:val="Compact"/>
                    <w:jc w:val="left"/>
                    <w:jc w:val="center"/>
                  </w:pPr>
                  <w:r>
                    <w:t xml:space="preserve">4.6.1</w:t>
                  </w:r>
                </w:p>
              </w:tc>
            </w:tr>
            <w:tr>
              <w:tc>
                <w:tcPr/>
                <w:p>
                  <w:pPr>
                    <w:pStyle w:val="Compact"/>
                    <w:jc w:val="left"/>
                    <w:jc w:val="center"/>
                  </w:pPr>
                  <w:r>
                    <w:t xml:space="preserve">brms</w:t>
                  </w:r>
                </w:p>
              </w:tc>
              <w:tc>
                <w:tcPr/>
                <w:p>
                  <w:pPr>
                    <w:pStyle w:val="Compact"/>
                    <w:jc w:val="left"/>
                    <w:jc w:val="center"/>
                  </w:pPr>
                  <w:r>
                    <w:t xml:space="preserve">2.23.0</w:t>
                  </w:r>
                </w:p>
              </w:tc>
            </w:tr>
            <w:tr>
              <w:tc>
                <w:tcPr/>
                <w:p>
                  <w:pPr>
                    <w:pStyle w:val="Compact"/>
                    <w:jc w:val="left"/>
                    <w:jc w:val="center"/>
                  </w:pPr>
                  <w:r>
                    <w:t xml:space="preserve">cmdstanr</w:t>
                  </w:r>
                </w:p>
              </w:tc>
              <w:tc>
                <w:tcPr/>
                <w:p>
                  <w:pPr>
                    <w:pStyle w:val="Compact"/>
                    <w:jc w:val="left"/>
                    <w:jc w:val="center"/>
                  </w:pPr>
                  <w:r>
                    <w:t xml:space="preserve">0.9.0</w:t>
                  </w:r>
                </w:p>
              </w:tc>
            </w:tr>
            <w:tr>
              <w:tc>
                <w:tcPr/>
                <w:p>
                  <w:pPr>
                    <w:pStyle w:val="Compact"/>
                    <w:jc w:val="left"/>
                    <w:jc w:val="center"/>
                  </w:pPr>
                  <w:r>
                    <w:t xml:space="preserve">posterior</w:t>
                  </w:r>
                </w:p>
              </w:tc>
              <w:tc>
                <w:tcPr/>
                <w:p>
                  <w:pPr>
                    <w:pStyle w:val="Compact"/>
                    <w:jc w:val="left"/>
                    <w:jc w:val="center"/>
                  </w:pPr>
                  <w:r>
                    <w:t xml:space="preserve">1.7.0</w:t>
                  </w:r>
                </w:p>
              </w:tc>
            </w:tr>
            <w:tr>
              <w:tc>
                <w:tcPr/>
                <w:p>
                  <w:pPr>
                    <w:pStyle w:val="Compact"/>
                    <w:jc w:val="left"/>
                    <w:jc w:val="center"/>
                  </w:pPr>
                  <w:r>
                    <w:t xml:space="preserve">tidybayes</w:t>
                  </w:r>
                </w:p>
              </w:tc>
              <w:tc>
                <w:tcPr/>
                <w:p>
                  <w:pPr>
                    <w:pStyle w:val="Compact"/>
                    <w:jc w:val="left"/>
                    <w:jc w:val="center"/>
                  </w:pPr>
                  <w:r>
                    <w:t xml:space="preserve">3.0.7</w:t>
                  </w:r>
                </w:p>
              </w:tc>
            </w:tr>
            <w:tr>
              <w:tc>
                <w:tcPr/>
                <w:p>
                  <w:pPr>
                    <w:pStyle w:val="Compact"/>
                    <w:jc w:val="left"/>
                    <w:jc w:val="center"/>
                  </w:pPr>
                  <w:r>
                    <w:t xml:space="preserve">mgcv</w:t>
                  </w:r>
                </w:p>
              </w:tc>
              <w:tc>
                <w:tcPr/>
                <w:p>
                  <w:pPr>
                    <w:pStyle w:val="Compact"/>
                    <w:jc w:val="left"/>
                    <w:jc w:val="center"/>
                  </w:pPr>
                  <w:r>
                    <w:t xml:space="preserve">1.9.4</w:t>
                  </w:r>
                </w:p>
              </w:tc>
            </w:tr>
            <w:tr>
              <w:tc>
                <w:tcPr/>
                <w:p>
                  <w:pPr>
                    <w:pStyle w:val="Compact"/>
                    <w:jc w:val="left"/>
                    <w:jc w:val="center"/>
                  </w:pPr>
                  <w:r>
                    <w:t xml:space="preserve">tidyverse</w:t>
                  </w:r>
                </w:p>
              </w:tc>
              <w:tc>
                <w:tcPr/>
                <w:p>
                  <w:pPr>
                    <w:pStyle w:val="Compact"/>
                    <w:jc w:val="left"/>
                    <w:jc w:val="center"/>
                  </w:pPr>
                  <w:r>
                    <w:t xml:space="preserve">2.0.0</w:t>
                  </w:r>
                </w:p>
              </w:tc>
            </w:tr>
            <w:tr>
              <w:tc>
                <w:tcPr/>
                <w:p>
                  <w:pPr>
                    <w:pStyle w:val="Compact"/>
                    <w:jc w:val="left"/>
                    <w:jc w:val="center"/>
                  </w:pPr>
                  <w:r>
                    <w:t xml:space="preserve">ggplot2</w:t>
                  </w:r>
                </w:p>
              </w:tc>
              <w:tc>
                <w:tcPr/>
                <w:p>
                  <w:pPr>
                    <w:pStyle w:val="Compact"/>
                    <w:jc w:val="left"/>
                    <w:jc w:val="center"/>
                  </w:pPr>
                  <w:r>
                    <w:t xml:space="preserve">4.0.3</w:t>
                  </w:r>
                </w:p>
              </w:tc>
            </w:tr>
            <w:tr>
              <w:tc>
                <w:tcPr/>
                <w:p>
                  <w:pPr>
                    <w:pStyle w:val="Compact"/>
                    <w:jc w:val="left"/>
                    <w:jc w:val="center"/>
                  </w:pPr>
                  <w:r>
                    <w:t xml:space="preserve">patchwork</w:t>
                  </w:r>
                </w:p>
              </w:tc>
              <w:tc>
                <w:tcPr/>
                <w:p>
                  <w:pPr>
                    <w:pStyle w:val="Compact"/>
                    <w:jc w:val="left"/>
                    <w:jc w:val="center"/>
                  </w:pPr>
                  <w:r>
                    <w:t xml:space="preserve">1.3.2</w:t>
                  </w:r>
                </w:p>
              </w:tc>
            </w:tr>
            <w:tr>
              <w:tc>
                <w:tcPr/>
                <w:p>
                  <w:pPr>
                    <w:pStyle w:val="Compact"/>
                    <w:jc w:val="left"/>
                    <w:jc w:val="center"/>
                  </w:pPr>
                  <w:r>
                    <w:t xml:space="preserve">flextable</w:t>
                  </w:r>
                </w:p>
              </w:tc>
              <w:tc>
                <w:tcPr/>
                <w:p>
                  <w:pPr>
                    <w:pStyle w:val="Compact"/>
                    <w:jc w:val="left"/>
                    <w:jc w:val="center"/>
                  </w:pPr>
                  <w:r>
                    <w:t xml:space="preserve">0.10.0</w:t>
                  </w:r>
                </w:p>
              </w:tc>
            </w:tr>
          </w:tbl>
          <w:bookmarkEnd w:id="151"/>
          <w:p/>
        </w:tc>
      </w:tr>
    </w:tbl>
    <w:bookmarkEnd w:id="152"/>
    <w:bookmarkEnd w:id="153"/>
    <w:bookmarkStart w:id="179" w:name="supplementary-figures"/>
    <w:p>
      <w:pPr>
        <w:pStyle w:val="Heading1"/>
      </w:pPr>
      <w:r>
        <w:t xml:space="preserve">Supplementary figures</w:t>
      </w:r>
    </w:p>
    <w:bookmarkStart w:id="158" w:name="X27f46ebd68937db73d9bbaecf3a1125fabbf03b"/>
    <w:p>
      <w:pPr>
        <w:pStyle w:val="Heading2"/>
      </w:pPr>
      <w:r>
        <w:t xml:space="preserve">Figure S1. Site-specific seasonal phenology</w:t>
      </w:r>
    </w:p>
    <w:tbl>
      <w:tblPr>
        <w:tblStyle w:val="Table"/>
        <w:tblW w:type="pct" w:w="5000"/>
        <w:tblLayout w:type="fixed"/>
        <w:tblLook w:firstRow="0" w:lastRow="0" w:firstColumn="0" w:lastColumn="0" w:noHBand="0" w:noVBand="0" w:val="0000"/>
      </w:tblPr>
      <w:tblGrid>
        <w:gridCol w:w="7920"/>
      </w:tblGrid>
      <w:tr>
        <w:tc>
          <w:tcPr/>
          <w:bookmarkStart w:id="157" w:name="fig-s1-site-phenology"/>
          <w:p>
            <w:pPr>
              <w:pStyle w:val="Compact"/>
              <w:jc w:val="center"/>
            </w:pPr>
            <w:r>
              <w:drawing>
                <wp:inline>
                  <wp:extent cx="5334000" cy="3151909"/>
                  <wp:effectExtent b="0" l="0" r="0" t="0"/>
                  <wp:docPr descr="" title="" id="155" name="Picture"/>
                  <a:graphic>
                    <a:graphicData uri="http://schemas.openxmlformats.org/drawingml/2006/picture">
                      <pic:pic>
                        <pic:nvPicPr>
                          <pic:cNvPr descr="C:/Users/AHitch/Documents/Stillwater/BucksBats/figs/supplementary/Figure_S1_site_seasonality.PNG" id="156" name="Picture"/>
                          <pic:cNvPicPr>
                            <a:picLocks noChangeArrowheads="1" noChangeAspect="1"/>
                          </pic:cNvPicPr>
                        </pic:nvPicPr>
                        <pic:blipFill>
                          <a:blip r:embed="rId154"/>
                          <a:stretch>
                            <a:fillRect/>
                          </a:stretch>
                        </pic:blipFill>
                        <pic:spPr bwMode="auto">
                          <a:xfrm>
                            <a:off x="0" y="0"/>
                            <a:ext cx="5334000" cy="315190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Site-specific seasonal phenology in bat activity from the final aggregate seasonal model. Gray curves show posterior median activity trajectories for individual sites, and the black curve and shaded intervals show the equal-site posterior average and associated credible intervals.</w:t>
            </w:r>
          </w:p>
          <w:bookmarkEnd w:id="157"/>
        </w:tc>
      </w:tr>
    </w:tbl>
    <w:bookmarkEnd w:id="158"/>
    <w:bookmarkStart w:id="163" w:name="figure-s2.-residual-temporal-dependence"/>
    <w:p>
      <w:pPr>
        <w:pStyle w:val="Heading2"/>
      </w:pPr>
      <w:r>
        <w:t xml:space="preserve">Figure S2. Residual temporal dependence</w:t>
      </w:r>
    </w:p>
    <w:tbl>
      <w:tblPr>
        <w:tblStyle w:val="Table"/>
        <w:tblW w:type="pct" w:w="5000"/>
        <w:tblLayout w:type="fixed"/>
        <w:tblLook w:firstRow="0" w:lastRow="0" w:firstColumn="0" w:lastColumn="0" w:noHBand="0" w:noVBand="0" w:val="0000"/>
      </w:tblPr>
      <w:tblGrid>
        <w:gridCol w:w="7920"/>
      </w:tblGrid>
      <w:tr>
        <w:tc>
          <w:tcPr/>
          <w:bookmarkStart w:id="162" w:name="fig-s2-acf-comparison"/>
          <w:p>
            <w:pPr>
              <w:pStyle w:val="Compact"/>
              <w:jc w:val="center"/>
            </w:pPr>
            <w:r>
              <w:drawing>
                <wp:inline>
                  <wp:extent cx="5334000" cy="4000500"/>
                  <wp:effectExtent b="0" l="0" r="0" t="0"/>
                  <wp:docPr descr="" title="" id="160" name="Picture"/>
                  <a:graphic>
                    <a:graphicData uri="http://schemas.openxmlformats.org/drawingml/2006/picture">
                      <pic:pic>
                        <pic:nvPicPr>
                          <pic:cNvPr descr="C:/Users/AHitch/Documents/Stillwater/BucksBats/figs/supplementary/Figure_S2_residual_acf.PNG" id="161" name="Picture"/>
                          <pic:cNvPicPr>
                            <a:picLocks noChangeArrowheads="1" noChangeAspect="1"/>
                          </pic:cNvPicPr>
                        </pic:nvPicPr>
                        <pic:blipFill>
                          <a:blip r:embed="rId15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Calendar-aware residual correlation for the final aggregate conditional environmental model and the final low-, mid-, and high-frequency conditional environmental models. Correlations are calculated using actual calendar-day lags so that gaps in sampling are not treated as consecutive observations.</w:t>
            </w:r>
          </w:p>
          <w:bookmarkEnd w:id="162"/>
        </w:tc>
      </w:tr>
    </w:tbl>
    <w:bookmarkEnd w:id="163"/>
    <w:bookmarkStart w:id="168" w:name="Xbb6c061f00038c3eb45ba6064f827537311e85a"/>
    <w:p>
      <w:pPr>
        <w:pStyle w:val="Heading2"/>
      </w:pPr>
      <w:r>
        <w:t xml:space="preserve">Figure S3. Aggregate posterior predictive checks</w:t>
      </w:r>
    </w:p>
    <w:tbl>
      <w:tblPr>
        <w:tblStyle w:val="Table"/>
        <w:tblW w:type="pct" w:w="5000"/>
        <w:tblLayout w:type="fixed"/>
        <w:tblLook w:firstRow="0" w:lastRow="0" w:firstColumn="0" w:lastColumn="0" w:noHBand="0" w:noVBand="0" w:val="0000"/>
      </w:tblPr>
      <w:tblGrid>
        <w:gridCol w:w="7920"/>
      </w:tblGrid>
      <w:tr>
        <w:tc>
          <w:tcPr/>
          <w:bookmarkStart w:id="167" w:name="fig-s3-aggregate-ppc"/>
          <w:p>
            <w:pPr>
              <w:pStyle w:val="Compact"/>
              <w:jc w:val="center"/>
            </w:pPr>
            <w:r>
              <w:drawing>
                <wp:inline>
                  <wp:extent cx="5334000" cy="4103076"/>
                  <wp:effectExtent b="0" l="0" r="0" t="0"/>
                  <wp:docPr descr="" title="" id="165" name="Picture"/>
                  <a:graphic>
                    <a:graphicData uri="http://schemas.openxmlformats.org/drawingml/2006/picture">
                      <pic:pic>
                        <pic:nvPicPr>
                          <pic:cNvPr descr="C:/Users/AHitch/Documents/Stillwater/BucksBats/figs/supplementary/Figure_S3_aggregate_ppc.PNG" id="166" name="Picture"/>
                          <pic:cNvPicPr>
                            <a:picLocks noChangeArrowheads="1" noChangeAspect="1"/>
                          </pic:cNvPicPr>
                        </pic:nvPicPr>
                        <pic:blipFill>
                          <a:blip r:embed="rId164"/>
                          <a:stretch>
                            <a:fillRect/>
                          </a:stretch>
                        </pic:blipFill>
                        <pic:spPr bwMode="auto">
                          <a:xfrm>
                            <a:off x="0" y="0"/>
                            <a:ext cx="5334000" cy="4103076"/>
                          </a:xfrm>
                          <a:prstGeom prst="rect">
                            <a:avLst/>
                          </a:prstGeom>
                          <a:noFill/>
                          <a:ln w="9525">
                            <a:noFill/>
                            <a:headEnd/>
                            <a:tailEnd/>
                          </a:ln>
                        </pic:spPr>
                      </pic:pic>
                    </a:graphicData>
                  </a:graphic>
                </wp:inline>
              </w:drawing>
            </w:r>
          </w:p>
          <w:p>
            <w:pPr>
              <w:jc w:val="center"/>
            </w:pPr>
            <w:pPr>
              <w:jc w:val="left"/>
              <w:spacing w:before="200"/>
              <w:pStyle w:val="ImageCaption"/>
            </w:pPr>
            <w:r>
              <w:t xml:space="preserve">Figure 9: Posterior predictive checks for the final aggregate conditional environmental model. Checks compare the observed nightly activity distribution with replicated datasets generated from the posterior predictive distribution and evaluate key features of the response distribution.</w:t>
            </w:r>
          </w:p>
          <w:bookmarkEnd w:id="167"/>
        </w:tc>
      </w:tr>
    </w:tbl>
    <w:bookmarkEnd w:id="168"/>
    <w:bookmarkStart w:id="173" w:name="Xebcf7c99e2c0616a4957b43c84e6c2dc62a9a8e"/>
    <w:p>
      <w:pPr>
        <w:pStyle w:val="Heading2"/>
      </w:pPr>
      <w:r>
        <w:t xml:space="preserve">Figure S4. Site-specific posterior predictive checks</w:t>
      </w:r>
    </w:p>
    <w:tbl>
      <w:tblPr>
        <w:tblStyle w:val="Table"/>
        <w:tblW w:type="pct" w:w="5000"/>
        <w:tblLayout w:type="fixed"/>
        <w:tblLook w:firstRow="0" w:lastRow="0" w:firstColumn="0" w:lastColumn="0" w:noHBand="0" w:noVBand="0" w:val="0000"/>
      </w:tblPr>
      <w:tblGrid>
        <w:gridCol w:w="7920"/>
      </w:tblGrid>
      <w:tr>
        <w:tc>
          <w:tcPr/>
          <w:bookmarkStart w:id="172" w:name="fig-s4-site-ppc"/>
          <w:p>
            <w:pPr>
              <w:pStyle w:val="Compact"/>
              <w:jc w:val="center"/>
            </w:pPr>
            <w:r>
              <w:drawing>
                <wp:inline>
                  <wp:extent cx="5334000" cy="4000500"/>
                  <wp:effectExtent b="0" l="0" r="0" t="0"/>
                  <wp:docPr descr="" title="" id="170" name="Picture"/>
                  <a:graphic>
                    <a:graphicData uri="http://schemas.openxmlformats.org/drawingml/2006/picture">
                      <pic:pic>
                        <pic:nvPicPr>
                          <pic:cNvPr descr="C:/Users/AHitch/Documents/Stillwater/BucksBats/figs/supplementary/Figure_S4_site_ppc.PNG" id="171" name="Picture"/>
                          <pic:cNvPicPr>
                            <a:picLocks noChangeArrowheads="1" noChangeAspect="1"/>
                          </pic:cNvPicPr>
                        </pic:nvPicPr>
                        <pic:blipFill>
                          <a:blip r:embed="rId169"/>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Site-specific posterior predictive checks for the final aggregate conditional environmental model. Crosses show observed site-level means and standard deviations of nightly activity; circles show posterior predictive medians and vertical intervals show 89% posterior predictive intervals.</w:t>
            </w:r>
          </w:p>
          <w:bookmarkEnd w:id="172"/>
        </w:tc>
      </w:tr>
    </w:tbl>
    <w:bookmarkEnd w:id="173"/>
    <w:bookmarkStart w:id="178" w:name="X9a935a20c0c040fbab59fae2fd8490d3a7ab5c0"/>
    <w:p>
      <w:pPr>
        <w:pStyle w:val="Heading2"/>
      </w:pPr>
      <w:r>
        <w:t xml:space="preserve">Figure S5. Frequency-group posterior predictive checks</w:t>
      </w:r>
    </w:p>
    <w:tbl>
      <w:tblPr>
        <w:tblStyle w:val="Table"/>
        <w:tblW w:type="pct" w:w="5000"/>
        <w:tblLayout w:type="fixed"/>
        <w:tblLook w:firstRow="0" w:lastRow="0" w:firstColumn="0" w:lastColumn="0" w:noHBand="0" w:noVBand="0" w:val="0000"/>
      </w:tblPr>
      <w:tblGrid>
        <w:gridCol w:w="7920"/>
      </w:tblGrid>
      <w:tr>
        <w:tc>
          <w:tcPr/>
          <w:bookmarkStart w:id="177" w:name="fig-s5-frequency-diagnostics"/>
          <w:p>
            <w:pPr>
              <w:pStyle w:val="Compact"/>
              <w:jc w:val="center"/>
            </w:pPr>
            <w:r>
              <w:drawing>
                <wp:inline>
                  <wp:extent cx="5334000" cy="4572000"/>
                  <wp:effectExtent b="0" l="0" r="0" t="0"/>
                  <wp:docPr descr="" title="" id="175" name="Picture"/>
                  <a:graphic>
                    <a:graphicData uri="http://schemas.openxmlformats.org/drawingml/2006/picture">
                      <pic:pic>
                        <pic:nvPicPr>
                          <pic:cNvPr descr="C:/Users/AHitch/Documents/Stillwater/BucksBats/figs/supplementary/Figure_S5_frequency_ppc.PNG" id="176" name="Picture"/>
                          <pic:cNvPicPr>
                            <a:picLocks noChangeArrowheads="1" noChangeAspect="1"/>
                          </pic:cNvPicPr>
                        </pic:nvPicPr>
                        <pic:blipFill>
                          <a:blip r:embed="rId174"/>
                          <a:stretch>
                            <a:fillRect/>
                          </a:stretch>
                        </pic:blipFill>
                        <pic:spPr bwMode="auto">
                          <a:xfrm>
                            <a:off x="0" y="0"/>
                            <a:ext cx="5334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Posterior predictive checks for the final low-, mid-, and high-frequency conditional environmental models. For each frequency group, checks compare the observed response distribution with posterior predictive replicates and evaluate the standard deviation and proportion of zero-activity nights.</w:t>
            </w:r>
          </w:p>
          <w:bookmarkEnd w:id="177"/>
        </w:tc>
      </w:tr>
    </w:tbl>
    <w:bookmarkEnd w:id="178"/>
    <w:bookmarkEnd w:id="179"/>
    <w:bookmarkStart w:id="180" w:name="additional-model-assessment"/>
    <w:p>
      <w:pPr>
        <w:pStyle w:val="Heading1"/>
      </w:pPr>
      <w:r>
        <w:t xml:space="preserve">Additional model assessment</w:t>
      </w:r>
    </w:p>
    <w:p>
      <w:pPr>
        <w:pStyle w:val="FirstParagraph"/>
      </w:pPr>
      <w:r>
        <w:t xml:space="preserve">Routine trace plots are not reproduced because the tabulated sampling diagnostics document convergence and effective sample sizes for the final models. The graphical diagnostics above focus on model adequacy relevant to the biological estimands: posterior predictive fit, among-site predictive performance, and remaining short-lag temporal dependence.</w:t>
      </w:r>
    </w:p>
    <w:bookmarkEnd w:id="1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8" Target="media/rId18.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154" Target="media/rId154.png" /><Relationship Type="http://schemas.openxmlformats.org/officeDocument/2006/relationships/image" Id="rId159" Target="media/rId159.png" /><Relationship Type="http://schemas.openxmlformats.org/officeDocument/2006/relationships/image" Id="rId164" Target="media/rId164.png" /><Relationship Type="http://schemas.openxmlformats.org/officeDocument/2006/relationships/image" Id="rId169" Target="media/rId169.png" /><Relationship Type="http://schemas.openxmlformats.org/officeDocument/2006/relationships/image" Id="rId174" Target="media/rId174.png" /><Relationship Type="http://schemas.openxmlformats.org/officeDocument/2006/relationships/hyperlink" Id="rId110" Target="https://doi.org/10.1002/ece3.71978" TargetMode="External" /><Relationship Type="http://schemas.openxmlformats.org/officeDocument/2006/relationships/hyperlink" Id="rId112" Target="https://doi.org/10.1002/jwmg.22414" TargetMode="External" /><Relationship Type="http://schemas.openxmlformats.org/officeDocument/2006/relationships/hyperlink" Id="rId126" Target="https://doi.org/10.1007/s10531-022-02538-y" TargetMode="External" /><Relationship Type="http://schemas.openxmlformats.org/officeDocument/2006/relationships/hyperlink" Id="rId117" Target="https://doi.org/10.1016/0003-3472(78)90151-3" TargetMode="External" /><Relationship Type="http://schemas.openxmlformats.org/officeDocument/2006/relationships/hyperlink" Id="rId90" Target="https://doi.org/10.1016/S0003-3472(71)80134-3" TargetMode="External" /><Relationship Type="http://schemas.openxmlformats.org/officeDocument/2006/relationships/hyperlink" Id="rId128" Target="https://doi.org/10.1016/j.mambio.2012.08.004" TargetMode="External" /><Relationship Type="http://schemas.openxmlformats.org/officeDocument/2006/relationships/hyperlink" Id="rId63" Target="https://doi.org/10.1016/j.mambio.2016.11.005" TargetMode="External" /><Relationship Type="http://schemas.openxmlformats.org/officeDocument/2006/relationships/hyperlink" Id="rId108" Target="https://doi.org/10.1016/j.scitotenv.2022.154403" TargetMode="External" /><Relationship Type="http://schemas.openxmlformats.org/officeDocument/2006/relationships/hyperlink" Id="rId88" Target="https://doi.org/10.1017/S0007485300032181" TargetMode="External" /><Relationship Type="http://schemas.openxmlformats.org/officeDocument/2006/relationships/hyperlink" Id="rId98" Target="https://doi.org/10.1017/s0952836902000511" TargetMode="External" /><Relationship Type="http://schemas.openxmlformats.org/officeDocument/2006/relationships/hyperlink" Id="rId132" Target="https://doi.org/10.1038/srep34585" TargetMode="External" /><Relationship Type="http://schemas.openxmlformats.org/officeDocument/2006/relationships/hyperlink" Id="rId61" Target="https://doi.org/10.1093/jmammal/gyae070" TargetMode="External" /><Relationship Type="http://schemas.openxmlformats.org/officeDocument/2006/relationships/hyperlink" Id="rId106" Target="https://doi.org/10.1098/rsif.2013.0961" TargetMode="External" /><Relationship Type="http://schemas.openxmlformats.org/officeDocument/2006/relationships/hyperlink" Id="rId122" Target="https://doi.org/10.1111/1365-2656.12148" TargetMode="External" /><Relationship Type="http://schemas.openxmlformats.org/officeDocument/2006/relationships/hyperlink" Id="rId136" Target="https://doi.org/10.1111/j.1467-9868.2010.00749.x" TargetMode="External" /><Relationship Type="http://schemas.openxmlformats.org/officeDocument/2006/relationships/hyperlink" Id="rId94" Target="https://doi.org/10.1111/j.1752-4598.2007.00004.x" TargetMode="External" /><Relationship Type="http://schemas.openxmlformats.org/officeDocument/2006/relationships/hyperlink" Id="rId102" Target="https://doi.org/10.1121/1.387529" TargetMode="External" /><Relationship Type="http://schemas.openxmlformats.org/officeDocument/2006/relationships/hyperlink" Id="rId78" Target="https://doi.org/10.1121/10.0019359" TargetMode="External" /><Relationship Type="http://schemas.openxmlformats.org/officeDocument/2006/relationships/hyperlink" Id="rId74" Target="https://doi.org/10.1139/Z07-090" TargetMode="External" /><Relationship Type="http://schemas.openxmlformats.org/officeDocument/2006/relationships/hyperlink" Id="rId96" Target="https://doi.org/10.1186/s42408-021-00105-4" TargetMode="External" /><Relationship Type="http://schemas.openxmlformats.org/officeDocument/2006/relationships/hyperlink" Id="rId104" Target="https://doi.org/10.1371/journal.pone.0270478" TargetMode="External" /><Relationship Type="http://schemas.openxmlformats.org/officeDocument/2006/relationships/hyperlink" Id="rId76" Target="https://doi.org/10.1644/1545-1542(2003)084&lt;0579:SDOMTB&gt;2.0.CO;2" TargetMode="External" /><Relationship Type="http://schemas.openxmlformats.org/officeDocument/2006/relationships/hyperlink" Id="rId115" Target="https://doi.org/10.1644/1545-1542(2005)86[909:tpobit]2.0.co;2" TargetMode="External" /><Relationship Type="http://schemas.openxmlformats.org/officeDocument/2006/relationships/hyperlink" Id="rId134" Target="https://doi.org/10.1656/045.021.0106" TargetMode="External" /><Relationship Type="http://schemas.openxmlformats.org/officeDocument/2006/relationships/hyperlink" Id="rId66" Target="https://doi.org/10.1656/058.014.0203" TargetMode="External" /><Relationship Type="http://schemas.openxmlformats.org/officeDocument/2006/relationships/hyperlink" Id="rId70" Target="https://doi.org/10.18637/jss.v080.i01" TargetMode="External" /><Relationship Type="http://schemas.openxmlformats.org/officeDocument/2006/relationships/hyperlink" Id="rId84" Target="https://doi.org/10.2307/1380701" TargetMode="External" /><Relationship Type="http://schemas.openxmlformats.org/officeDocument/2006/relationships/hyperlink" Id="rId92" Target="https://doi.org/10.2307/1383170" TargetMode="External" /><Relationship Type="http://schemas.openxmlformats.org/officeDocument/2006/relationships/hyperlink" Id="rId119" Target="https://doi.org/10.2307/1383203" TargetMode="External" /><Relationship Type="http://schemas.openxmlformats.org/officeDocument/2006/relationships/hyperlink" Id="rId124" Target="https://doi.org/10.32614/R.manuals" TargetMode="External" /><Relationship Type="http://schemas.openxmlformats.org/officeDocument/2006/relationships/hyperlink" Id="rId80" Target="https://doi.org/10.3390/d14050319" TargetMode="External" /><Relationship Type="http://schemas.openxmlformats.org/officeDocument/2006/relationships/hyperlink" Id="rId68" Target="https://doi.org/10.3390/d17110750" TargetMode="External" /><Relationship Type="http://schemas.openxmlformats.org/officeDocument/2006/relationships/hyperlink" Id="rId130" Target="https://doi.org/10.3390/life13071495" TargetMode="External" /><Relationship Type="http://schemas.openxmlformats.org/officeDocument/2006/relationships/hyperlink" Id="rId82" Target="https://doi.org/10.3897/neotropical.19.e131710" TargetMode="External" /><Relationship Type="http://schemas.openxmlformats.org/officeDocument/2006/relationships/hyperlink" Id="rId100" Target="https://doi.org/10.5281/zenodo.1308151" TargetMode="External" /><Relationship Type="http://schemas.openxmlformats.org/officeDocument/2006/relationships/hyperlink" Id="rId86" Target="https://mc-stan.org/cmdstanr/" TargetMode="External" /><Relationship Type="http://schemas.openxmlformats.org/officeDocument/2006/relationships/hyperlink" Id="rId72" Target="https://mc-stan.org/posterior/" TargetMode="External" /></Relationships>
</file>

<file path=word/_rels/footnotes.xml.rels><?xml version="1.0" encoding="UTF-8"?><Relationships xmlns="http://schemas.openxmlformats.org/package/2006/relationships"><Relationship Type="http://schemas.openxmlformats.org/officeDocument/2006/relationships/hyperlink" Id="rId110" Target="https://doi.org/10.1002/ece3.71978" TargetMode="External" /><Relationship Type="http://schemas.openxmlformats.org/officeDocument/2006/relationships/hyperlink" Id="rId112" Target="https://doi.org/10.1002/jwmg.22414" TargetMode="External" /><Relationship Type="http://schemas.openxmlformats.org/officeDocument/2006/relationships/hyperlink" Id="rId126" Target="https://doi.org/10.1007/s10531-022-02538-y" TargetMode="External" /><Relationship Type="http://schemas.openxmlformats.org/officeDocument/2006/relationships/hyperlink" Id="rId117" Target="https://doi.org/10.1016/0003-3472(78)90151-3" TargetMode="External" /><Relationship Type="http://schemas.openxmlformats.org/officeDocument/2006/relationships/hyperlink" Id="rId90" Target="https://doi.org/10.1016/S0003-3472(71)80134-3" TargetMode="External" /><Relationship Type="http://schemas.openxmlformats.org/officeDocument/2006/relationships/hyperlink" Id="rId128" Target="https://doi.org/10.1016/j.mambio.2012.08.004" TargetMode="External" /><Relationship Type="http://schemas.openxmlformats.org/officeDocument/2006/relationships/hyperlink" Id="rId63" Target="https://doi.org/10.1016/j.mambio.2016.11.005" TargetMode="External" /><Relationship Type="http://schemas.openxmlformats.org/officeDocument/2006/relationships/hyperlink" Id="rId108" Target="https://doi.org/10.1016/j.scitotenv.2022.154403" TargetMode="External" /><Relationship Type="http://schemas.openxmlformats.org/officeDocument/2006/relationships/hyperlink" Id="rId88" Target="https://doi.org/10.1017/S0007485300032181" TargetMode="External" /><Relationship Type="http://schemas.openxmlformats.org/officeDocument/2006/relationships/hyperlink" Id="rId98" Target="https://doi.org/10.1017/s0952836902000511" TargetMode="External" /><Relationship Type="http://schemas.openxmlformats.org/officeDocument/2006/relationships/hyperlink" Id="rId132" Target="https://doi.org/10.1038/srep34585" TargetMode="External" /><Relationship Type="http://schemas.openxmlformats.org/officeDocument/2006/relationships/hyperlink" Id="rId61" Target="https://doi.org/10.1093/jmammal/gyae070" TargetMode="External" /><Relationship Type="http://schemas.openxmlformats.org/officeDocument/2006/relationships/hyperlink" Id="rId106" Target="https://doi.org/10.1098/rsif.2013.0961" TargetMode="External" /><Relationship Type="http://schemas.openxmlformats.org/officeDocument/2006/relationships/hyperlink" Id="rId122" Target="https://doi.org/10.1111/1365-2656.12148" TargetMode="External" /><Relationship Type="http://schemas.openxmlformats.org/officeDocument/2006/relationships/hyperlink" Id="rId136" Target="https://doi.org/10.1111/j.1467-9868.2010.00749.x" TargetMode="External" /><Relationship Type="http://schemas.openxmlformats.org/officeDocument/2006/relationships/hyperlink" Id="rId94" Target="https://doi.org/10.1111/j.1752-4598.2007.00004.x" TargetMode="External" /><Relationship Type="http://schemas.openxmlformats.org/officeDocument/2006/relationships/hyperlink" Id="rId102" Target="https://doi.org/10.1121/1.387529" TargetMode="External" /><Relationship Type="http://schemas.openxmlformats.org/officeDocument/2006/relationships/hyperlink" Id="rId78" Target="https://doi.org/10.1121/10.0019359" TargetMode="External" /><Relationship Type="http://schemas.openxmlformats.org/officeDocument/2006/relationships/hyperlink" Id="rId74" Target="https://doi.org/10.1139/Z07-090" TargetMode="External" /><Relationship Type="http://schemas.openxmlformats.org/officeDocument/2006/relationships/hyperlink" Id="rId96" Target="https://doi.org/10.1186/s42408-021-00105-4" TargetMode="External" /><Relationship Type="http://schemas.openxmlformats.org/officeDocument/2006/relationships/hyperlink" Id="rId104" Target="https://doi.org/10.1371/journal.pone.0270478" TargetMode="External" /><Relationship Type="http://schemas.openxmlformats.org/officeDocument/2006/relationships/hyperlink" Id="rId76" Target="https://doi.org/10.1644/1545-1542(2003)084&lt;0579:SDOMTB&gt;2.0.CO;2" TargetMode="External" /><Relationship Type="http://schemas.openxmlformats.org/officeDocument/2006/relationships/hyperlink" Id="rId115" Target="https://doi.org/10.1644/1545-1542(2005)86[909:tpobit]2.0.co;2" TargetMode="External" /><Relationship Type="http://schemas.openxmlformats.org/officeDocument/2006/relationships/hyperlink" Id="rId134" Target="https://doi.org/10.1656/045.021.0106" TargetMode="External" /><Relationship Type="http://schemas.openxmlformats.org/officeDocument/2006/relationships/hyperlink" Id="rId66" Target="https://doi.org/10.1656/058.014.0203" TargetMode="External" /><Relationship Type="http://schemas.openxmlformats.org/officeDocument/2006/relationships/hyperlink" Id="rId70" Target="https://doi.org/10.18637/jss.v080.i01" TargetMode="External" /><Relationship Type="http://schemas.openxmlformats.org/officeDocument/2006/relationships/hyperlink" Id="rId84" Target="https://doi.org/10.2307/1380701" TargetMode="External" /><Relationship Type="http://schemas.openxmlformats.org/officeDocument/2006/relationships/hyperlink" Id="rId92" Target="https://doi.org/10.2307/1383170" TargetMode="External" /><Relationship Type="http://schemas.openxmlformats.org/officeDocument/2006/relationships/hyperlink" Id="rId119" Target="https://doi.org/10.2307/1383203" TargetMode="External" /><Relationship Type="http://schemas.openxmlformats.org/officeDocument/2006/relationships/hyperlink" Id="rId124" Target="https://doi.org/10.32614/R.manuals" TargetMode="External" /><Relationship Type="http://schemas.openxmlformats.org/officeDocument/2006/relationships/hyperlink" Id="rId80" Target="https://doi.org/10.3390/d14050319" TargetMode="External" /><Relationship Type="http://schemas.openxmlformats.org/officeDocument/2006/relationships/hyperlink" Id="rId68" Target="https://doi.org/10.3390/d17110750" TargetMode="External" /><Relationship Type="http://schemas.openxmlformats.org/officeDocument/2006/relationships/hyperlink" Id="rId130" Target="https://doi.org/10.3390/life13071495" TargetMode="External" /><Relationship Type="http://schemas.openxmlformats.org/officeDocument/2006/relationships/hyperlink" Id="rId82" Target="https://doi.org/10.3897/neotropical.19.e131710" TargetMode="External" /><Relationship Type="http://schemas.openxmlformats.org/officeDocument/2006/relationships/hyperlink" Id="rId100" Target="https://doi.org/10.5281/zenodo.1308151" TargetMode="External" /><Relationship Type="http://schemas.openxmlformats.org/officeDocument/2006/relationships/hyperlink" Id="rId86" Target="https://mc-stan.org/cmdstanr/" TargetMode="External" /><Relationship Type="http://schemas.openxmlformats.org/officeDocument/2006/relationships/hyperlink" Id="rId72" Target="https://mc-stan.org/posteri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TBD</dc:title>
  <dc:creator>Alan T. Hitch; Lauren Dusek; Christine Champe</dc:creator>
  <dc:language>en-US</dc:language>
  <cp:keywords/>
  <dcterms:created xsi:type="dcterms:W3CDTF">2026-10-05T18:53:20Z</dcterms:created>
  <dcterms:modified xsi:type="dcterms:W3CDTF">2026-10-05T18:53:20Z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references/functional-ecology.csl</vt:lpwstr>
  </property>
  <property fmtid="{D5CDD505-2E9C-101B-9397-08002B2CF9AE}" pid="9" name="execute">
    <vt:lpwstr/>
  </property>
  <property fmtid="{D5CDD505-2E9C-101B-9397-08002B2CF9AE}" pid="10" name="fig-cap-location">
    <vt:lpwstr>bottom</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bl-cap-location">
    <vt:lpwstr>top</vt:lpwstr>
  </property>
  <property fmtid="{D5CDD505-2E9C-101B-9397-08002B2CF9AE}" pid="16" name="toc-title">
    <vt:lpwstr>Table of contents</vt:lpwstr>
  </property>
</Properties>
</file>