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8.png" ContentType="image/png"/>
  <Override PartName="/word/media/rId33.png" ContentType="image/png"/>
  <Override PartName="/word/media/rId38.png" ContentType="image/png"/>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supplementary-material"/>
    <w:p>
      <w:pPr>
        <w:pStyle w:val="Heading1"/>
      </w:pPr>
      <w:r>
        <w:t xml:space="preserve">Supplementary material</w:t>
      </w:r>
    </w:p>
    <w:p>
      <w:pPr>
        <w:pStyle w:val="FirstParagraph"/>
      </w:pPr>
      <w:r>
        <w:t xml:space="preserve">This supplementary material provides model specifications, sampling and species summaries, model diagnostics, posterior predictive checks, and residual temporal diagnostics supporting the main-text analysis of bat activity in the northern Sierra Nevada. Intermediate model-development objects that do not contribute directly to interpretation are retained in the analysis repository rather than reproduced here.</w:t>
      </w:r>
    </w:p>
    <w:bookmarkEnd w:id="9"/>
    <w:bookmarkStart w:id="22" w:name="supplementary-tables"/>
    <w:p>
      <w:pPr>
        <w:pStyle w:val="Heading1"/>
      </w:pPr>
      <w:r>
        <w:t xml:space="preserve">Supplementary tables</w:t>
      </w:r>
    </w:p>
    <w:bookmarkStart w:id="11" w:name="table-s1.-final-model-specifications"/>
    <w:p>
      <w:pPr>
        <w:pStyle w:val="Heading2"/>
      </w:pPr>
      <w:r>
        <w:t xml:space="preserve">Table S1. Final model specifications</w:t>
      </w:r>
    </w:p>
    <w:tbl>
      <w:tblPr>
        <w:tblStyle w:val="Table"/>
        <w:tblW w:type="pct" w:w="5000"/>
        <w:tblLayout w:type="fixed"/>
        <w:tblLook w:firstRow="0" w:lastRow="0" w:firstColumn="0" w:lastColumn="0" w:noHBand="0" w:noVBand="0" w:val="0000"/>
      </w:tblPr>
      <w:tblGrid>
        <w:gridCol w:w="7920"/>
      </w:tblGrid>
      <w:tr>
        <w:tc>
          <w:tcPr/>
          <w:bookmarkStart w:id="10" w:name="tbl-s1-model-definitions"/>
          <w:p>
            <w:pPr>
              <w:jc w:val="center"/>
            </w:pPr>
            <w:pPr>
              <w:jc w:val="left"/>
              <w:spacing w:before="200"/>
              <w:pStyle w:val="ImageCaption"/>
            </w:pPr>
            <w:r>
              <w:t xml:space="preserve">Table 1: Final Bayesian generalized additive models used to estimate aggregate and frequency-group bat activity. All models used a negative-binomial response distribution with a log link and site-specific seasonal phenology represented by penalized factor-smooth interactions where applicable.</w:t>
            </w:r>
          </w:p>
          <w:tbl>
            <w:tblPr>
              <w:tblStyle w:val="Table"/>
              <w:tblW w:type="pct" w:w="5000"/>
              <w:tblLayout w:type="fixed"/>
              <w:tblLook w:firstRow="1" w:lastRow="0" w:firstColumn="0" w:lastColumn="0" w:noHBand="0" w:noVBand="0" w:val="0020"/>
            </w:tblPr>
            <w:tblGrid>
              <w:gridCol w:w="1297"/>
              <w:gridCol w:w="1073"/>
              <w:gridCol w:w="3982"/>
              <w:gridCol w:w="1029"/>
              <w:gridCol w:w="536"/>
            </w:tblGrid>
            <w:tr>
              <w:trPr>
                <w:tblHeader w:val="on"/>
              </w:trPr>
              <w:tc>
                <w:tcPr/>
                <w:p>
                  <w:pPr>
                    <w:pStyle w:val="Compact"/>
                    <w:jc w:val="left"/>
                    <w:jc w:val="center"/>
                  </w:pPr>
                  <w:r>
                    <w:t xml:space="preserve">Model</w:t>
                  </w:r>
                </w:p>
              </w:tc>
              <w:tc>
                <w:tcPr/>
                <w:p>
                  <w:pPr>
                    <w:pStyle w:val="Compact"/>
                    <w:jc w:val="left"/>
                    <w:jc w:val="center"/>
                  </w:pPr>
                  <w:r>
                    <w:t xml:space="preserve">Response</w:t>
                  </w:r>
                </w:p>
              </w:tc>
              <w:tc>
                <w:tcPr/>
                <w:p>
                  <w:pPr>
                    <w:pStyle w:val="Compact"/>
                    <w:jc w:val="left"/>
                    <w:jc w:val="center"/>
                  </w:pPr>
                  <w:r>
                    <w:t xml:space="preserve">Formula</w:t>
                  </w:r>
                </w:p>
              </w:tc>
              <w:tc>
                <w:tcPr/>
                <w:p>
                  <w:pPr>
                    <w:pStyle w:val="Compact"/>
                    <w:jc w:val="left"/>
                    <w:jc w:val="center"/>
                  </w:pPr>
                  <w:r>
                    <w:t xml:space="preserve">Likelihood</w:t>
                  </w:r>
                </w:p>
              </w:tc>
              <w:tc>
                <w:tcPr/>
                <w:p>
                  <w:pPr>
                    <w:pStyle w:val="Compact"/>
                    <w:jc w:val="right"/>
                    <w:jc w:val="center"/>
                  </w:pPr>
                  <w:r>
                    <w:t xml:space="preserve">Site-nights</w:t>
                  </w:r>
                </w:p>
              </w:tc>
            </w:tr>
            <w:tr>
              <w:tc>
                <w:tcPr/>
                <w:p>
                  <w:pPr>
                    <w:pStyle w:val="Compact"/>
                    <w:jc w:val="left"/>
                    <w:jc w:val="center"/>
                  </w:pPr>
                  <w:r>
                    <w:t xml:space="preserve">Aggregate seasonal</w:t>
                  </w:r>
                </w:p>
              </w:tc>
              <w:tc>
                <w:tcPr/>
                <w:p>
                  <w:pPr>
                    <w:pStyle w:val="Compact"/>
                    <w:jc w:val="left"/>
                    <w:jc w:val="center"/>
                  </w:pPr>
                  <w:r>
                    <w:t xml:space="preserve">Aggregate activity</w:t>
                  </w:r>
                </w:p>
              </w:tc>
              <w:tc>
                <w:tcPr/>
                <w:p>
                  <w:pPr>
                    <w:pStyle w:val="Compact"/>
                    <w:jc w:val="left"/>
                    <w:jc w:val="center"/>
                  </w:pPr>
                  <w:r>
                    <w:t xml:space="preserve">n ~ s(doy) + s(doy, Site, bs =</w:t>
                  </w:r>
                  <w:r>
                    <w:t xml:space="preserve"> </w:t>
                  </w:r>
                  <w:r>
                    <w:t xml:space="preserve">“fs”</w:t>
                  </w:r>
                  <w:r>
                    <w:t xml:space="preserve">)</w:t>
                  </w:r>
                </w:p>
              </w:tc>
              <w:tc>
                <w:tcPr/>
                <w:p>
                  <w:pPr>
                    <w:pStyle w:val="Compact"/>
                    <w:jc w:val="left"/>
                    <w:jc w:val="center"/>
                  </w:pPr>
                  <w:r>
                    <w:t xml:space="preserve">negbinomial (log link)</w:t>
                  </w:r>
                </w:p>
              </w:tc>
              <w:tc>
                <w:tcPr/>
                <w:p>
                  <w:pPr>
                    <w:pStyle w:val="Compact"/>
                    <w:jc w:val="right"/>
                    <w:jc w:val="center"/>
                  </w:pPr>
                  <w:r>
                    <w:t xml:space="preserve">1056</w:t>
                  </w:r>
                </w:p>
              </w:tc>
            </w:tr>
            <w:tr>
              <w:tc>
                <w:tcPr/>
                <w:p>
                  <w:pPr>
                    <w:pStyle w:val="Compact"/>
                    <w:jc w:val="left"/>
                    <w:jc w:val="center"/>
                  </w:pPr>
                  <w:r>
                    <w:t xml:space="preserve">Aggregate environmental</w:t>
                  </w:r>
                </w:p>
              </w:tc>
              <w:tc>
                <w:tcPr/>
                <w:p>
                  <w:pPr>
                    <w:pStyle w:val="Compact"/>
                    <w:jc w:val="left"/>
                    <w:jc w:val="center"/>
                  </w:pPr>
                  <w:r>
                    <w:t xml:space="preserve">Aggregate activity</w:t>
                  </w:r>
                </w:p>
              </w:tc>
              <w:tc>
                <w:tcPr/>
                <w:p>
                  <w:pPr>
                    <w:pStyle w:val="Compact"/>
                    <w:jc w:val="left"/>
                    <w:jc w:val="center"/>
                  </w:pPr>
                  <w:r>
                    <w:t xml:space="preserve">n ~ s(doy) + s(doy, Site, bs =</w:t>
                  </w:r>
                  <w:r>
                    <w:t xml:space="preserve"> </w:t>
                  </w:r>
                  <w:r>
                    <w:t xml:space="preserve">“fs”</w:t>
                  </w:r>
                  <w:r>
                    <w:t xml:space="preserve">) + s(scale_avetemp) + s(scale_averh) + s(Lunar)</w:t>
                  </w:r>
                </w:p>
              </w:tc>
              <w:tc>
                <w:tcPr/>
                <w:p>
                  <w:pPr>
                    <w:pStyle w:val="Compact"/>
                    <w:jc w:val="left"/>
                    <w:jc w:val="center"/>
                  </w:pPr>
                  <w:r>
                    <w:t xml:space="preserve">negbinomial (log link)</w:t>
                  </w:r>
                </w:p>
              </w:tc>
              <w:tc>
                <w:tcPr/>
                <w:p>
                  <w:pPr>
                    <w:pStyle w:val="Compact"/>
                    <w:jc w:val="right"/>
                    <w:jc w:val="center"/>
                  </w:pPr>
                  <w:r>
                    <w:t xml:space="preserve">1056</w:t>
                  </w:r>
                </w:p>
              </w:tc>
            </w:tr>
            <w:tr>
              <w:tc>
                <w:tcPr/>
                <w:p>
                  <w:pPr>
                    <w:pStyle w:val="Compact"/>
                    <w:jc w:val="left"/>
                    <w:jc w:val="center"/>
                  </w:pPr>
                  <w:r>
                    <w:t xml:space="preserve">Low-frequency environmental</w:t>
                  </w:r>
                </w:p>
              </w:tc>
              <w:tc>
                <w:tcPr/>
                <w:p>
                  <w:pPr>
                    <w:pStyle w:val="Compact"/>
                    <w:jc w:val="left"/>
                    <w:jc w:val="center"/>
                  </w:pPr>
                  <w:r>
                    <w:t xml:space="preserve">Low-frequency activity</w:t>
                  </w:r>
                </w:p>
              </w:tc>
              <w:tc>
                <w:tcPr/>
                <w:p>
                  <w:pPr>
                    <w:pStyle w:val="Compact"/>
                    <w:jc w:val="left"/>
                    <w:jc w:val="center"/>
                  </w:pPr>
                  <w:r>
                    <w:t xml:space="preserve">n ~ s(doy) + s(doy, Site, bs =</w:t>
                  </w:r>
                  <w:r>
                    <w:t xml:space="preserve"> </w:t>
                  </w:r>
                  <w:r>
                    <w:t xml:space="preserve">“fs”</w:t>
                  </w:r>
                  <w:r>
                    <w:t xml:space="preserve">) + s(scale_avetemp) + s(scale_averh) + s(Lunar)</w:t>
                  </w:r>
                </w:p>
              </w:tc>
              <w:tc>
                <w:tcPr/>
                <w:p>
                  <w:pPr>
                    <w:pStyle w:val="Compact"/>
                    <w:jc w:val="left"/>
                    <w:jc w:val="center"/>
                  </w:pPr>
                  <w:r>
                    <w:t xml:space="preserve">negbinomial (log link)</w:t>
                  </w:r>
                </w:p>
              </w:tc>
              <w:tc>
                <w:tcPr/>
                <w:p>
                  <w:pPr>
                    <w:pStyle w:val="Compact"/>
                    <w:jc w:val="right"/>
                    <w:jc w:val="center"/>
                  </w:pPr>
                  <w:r>
                    <w:t xml:space="preserve">1056</w:t>
                  </w:r>
                </w:p>
              </w:tc>
            </w:tr>
            <w:tr>
              <w:tc>
                <w:tcPr/>
                <w:p>
                  <w:pPr>
                    <w:pStyle w:val="Compact"/>
                    <w:jc w:val="left"/>
                    <w:jc w:val="center"/>
                  </w:pPr>
                  <w:r>
                    <w:t xml:space="preserve">Mid-frequency environmental</w:t>
                  </w:r>
                </w:p>
              </w:tc>
              <w:tc>
                <w:tcPr/>
                <w:p>
                  <w:pPr>
                    <w:pStyle w:val="Compact"/>
                    <w:jc w:val="left"/>
                    <w:jc w:val="center"/>
                  </w:pPr>
                  <w:r>
                    <w:t xml:space="preserve">Mid-frequency activity</w:t>
                  </w:r>
                </w:p>
              </w:tc>
              <w:tc>
                <w:tcPr/>
                <w:p>
                  <w:pPr>
                    <w:pStyle w:val="Compact"/>
                    <w:jc w:val="left"/>
                    <w:jc w:val="center"/>
                  </w:pPr>
                  <w:r>
                    <w:t xml:space="preserve">n ~ s(doy) + s(doy, Site, bs =</w:t>
                  </w:r>
                  <w:r>
                    <w:t xml:space="preserve"> </w:t>
                  </w:r>
                  <w:r>
                    <w:t xml:space="preserve">“fs”</w:t>
                  </w:r>
                  <w:r>
                    <w:t xml:space="preserve">) + s(scale_avetemp) + s(scale_averh) + s(Lunar)</w:t>
                  </w:r>
                </w:p>
              </w:tc>
              <w:tc>
                <w:tcPr/>
                <w:p>
                  <w:pPr>
                    <w:pStyle w:val="Compact"/>
                    <w:jc w:val="left"/>
                    <w:jc w:val="center"/>
                  </w:pPr>
                  <w:r>
                    <w:t xml:space="preserve">negbinomial (log link)</w:t>
                  </w:r>
                </w:p>
              </w:tc>
              <w:tc>
                <w:tcPr/>
                <w:p>
                  <w:pPr>
                    <w:pStyle w:val="Compact"/>
                    <w:jc w:val="right"/>
                    <w:jc w:val="center"/>
                  </w:pPr>
                  <w:r>
                    <w:t xml:space="preserve">1056</w:t>
                  </w:r>
                </w:p>
              </w:tc>
            </w:tr>
            <w:tr>
              <w:tc>
                <w:tcPr/>
                <w:p>
                  <w:pPr>
                    <w:pStyle w:val="Compact"/>
                    <w:jc w:val="left"/>
                    <w:jc w:val="center"/>
                  </w:pPr>
                  <w:r>
                    <w:t xml:space="preserve">High-frequency environmental</w:t>
                  </w:r>
                </w:p>
              </w:tc>
              <w:tc>
                <w:tcPr/>
                <w:p>
                  <w:pPr>
                    <w:pStyle w:val="Compact"/>
                    <w:jc w:val="left"/>
                    <w:jc w:val="center"/>
                  </w:pPr>
                  <w:r>
                    <w:t xml:space="preserve">High-frequency activity</w:t>
                  </w:r>
                </w:p>
              </w:tc>
              <w:tc>
                <w:tcPr/>
                <w:p>
                  <w:pPr>
                    <w:pStyle w:val="Compact"/>
                    <w:jc w:val="left"/>
                    <w:jc w:val="center"/>
                  </w:pPr>
                  <w:r>
                    <w:t xml:space="preserve">n ~ s(doy) + s(doy, Site, bs =</w:t>
                  </w:r>
                  <w:r>
                    <w:t xml:space="preserve"> </w:t>
                  </w:r>
                  <w:r>
                    <w:t xml:space="preserve">“fs”</w:t>
                  </w:r>
                  <w:r>
                    <w:t xml:space="preserve">) + s(scale_avetemp) + s(scale_averh) + s(Lunar)</w:t>
                  </w:r>
                </w:p>
              </w:tc>
              <w:tc>
                <w:tcPr/>
                <w:p>
                  <w:pPr>
                    <w:pStyle w:val="Compact"/>
                    <w:jc w:val="left"/>
                    <w:jc w:val="center"/>
                  </w:pPr>
                  <w:r>
                    <w:t xml:space="preserve">negbinomial (log link)</w:t>
                  </w:r>
                </w:p>
              </w:tc>
              <w:tc>
                <w:tcPr/>
                <w:p>
                  <w:pPr>
                    <w:pStyle w:val="Compact"/>
                    <w:jc w:val="right"/>
                    <w:jc w:val="center"/>
                  </w:pPr>
                  <w:r>
                    <w:t xml:space="preserve">1056</w:t>
                  </w:r>
                </w:p>
              </w:tc>
            </w:tr>
          </w:tbl>
          <w:bookmarkEnd w:id="10"/>
          <w:p/>
        </w:tc>
      </w:tr>
    </w:tbl>
    <w:bookmarkEnd w:id="11"/>
    <w:bookmarkStart w:id="13" w:name="Xab193a75d0e15ebe5ff1b85fd27eb5353f6da36"/>
    <w:p>
      <w:pPr>
        <w:pStyle w:val="Heading2"/>
      </w:pPr>
      <w:r>
        <w:t xml:space="preserve">Table S2. Aggregate-model sampling diagnostics</w:t>
      </w:r>
    </w:p>
    <w:tbl>
      <w:tblPr>
        <w:tblStyle w:val="Table"/>
        <w:tblW w:type="pct" w:w="5000"/>
        <w:tblLayout w:type="fixed"/>
        <w:tblLook w:firstRow="0" w:lastRow="0" w:firstColumn="0" w:lastColumn="0" w:noHBand="0" w:noVBand="0" w:val="0000"/>
      </w:tblPr>
      <w:tblGrid>
        <w:gridCol w:w="7920"/>
      </w:tblGrid>
      <w:tr>
        <w:tc>
          <w:tcPr/>
          <w:bookmarkStart w:id="12" w:name="tbl-s2-aggregate-diagnostics"/>
          <w:p>
            <w:pPr>
              <w:jc w:val="center"/>
            </w:pPr>
            <w:pPr>
              <w:jc w:val="left"/>
              <w:spacing w:before="200"/>
              <w:pStyle w:val="ImageCaption"/>
            </w:pPr>
            <w:r>
              <w:t xml:space="preserve">Table 2: MCMC sampling diagnostics for the final aggregate seasonal and conditional environmental models. Negative-binomial shape is summarized by the posterior median and 89% credible interval.</w:t>
            </w:r>
          </w:p>
          <w:tbl>
            <w:tblPr>
              <w:tblStyle w:val="Table"/>
              <w:tblW w:type="pct" w:w="5000"/>
              <w:tblLayout w:type="fixed"/>
              <w:tblLook w:firstRow="1" w:lastRow="0" w:firstColumn="0" w:lastColumn="0" w:noHBand="0" w:noVBand="0" w:val="0020"/>
            </w:tblPr>
            <w:tblGrid>
              <w:gridCol w:w="979"/>
              <w:gridCol w:w="489"/>
              <w:gridCol w:w="734"/>
              <w:gridCol w:w="571"/>
              <w:gridCol w:w="694"/>
              <w:gridCol w:w="694"/>
              <w:gridCol w:w="489"/>
              <w:gridCol w:w="1061"/>
              <w:gridCol w:w="653"/>
              <w:gridCol w:w="775"/>
              <w:gridCol w:w="775"/>
            </w:tblGrid>
            <w:tr>
              <w:trPr>
                <w:tblHeader w:val="on"/>
              </w:trPr>
              <w:tc>
                <w:tcPr/>
                <w:p>
                  <w:pPr>
                    <w:pStyle w:val="Compact"/>
                    <w:jc w:val="left"/>
                    <w:jc w:val="center"/>
                  </w:pPr>
                  <w:r>
                    <w:t xml:space="preserve">Model</w:t>
                  </w:r>
                </w:p>
              </w:tc>
              <w:tc>
                <w:tcPr/>
                <w:p>
                  <w:pPr>
                    <w:pStyle w:val="Compact"/>
                    <w:jc w:val="right"/>
                    <w:jc w:val="center"/>
                  </w:pPr>
                  <w:r>
                    <w:t xml:space="preserve">Site-nights</w:t>
                  </w:r>
                </w:p>
              </w:tc>
              <w:tc>
                <w:tcPr/>
                <w:p>
                  <w:pPr>
                    <w:pStyle w:val="Compact"/>
                    <w:jc w:val="right"/>
                    <w:jc w:val="center"/>
                  </w:pPr>
                  <w:r>
                    <w:t xml:space="preserve">Post-warmup draws</w:t>
                  </w:r>
                </w:p>
              </w:tc>
              <w:tc>
                <w:tcPr/>
                <w:p>
                  <w:pPr>
                    <w:pStyle w:val="Compact"/>
                    <w:jc w:val="right"/>
                    <w:jc w:val="center"/>
                  </w:pPr>
                  <w:r>
                    <w:t xml:space="preserve">Maximum R-hat</w:t>
                  </w:r>
                </w:p>
              </w:tc>
              <w:tc>
                <w:tcPr/>
                <w:p>
                  <w:pPr>
                    <w:pStyle w:val="Compact"/>
                    <w:jc w:val="right"/>
                    <w:jc w:val="center"/>
                  </w:pPr>
                  <w:r>
                    <w:t xml:space="preserve">Minimum bulk ESS</w:t>
                  </w:r>
                </w:p>
              </w:tc>
              <w:tc>
                <w:tcPr/>
                <w:p>
                  <w:pPr>
                    <w:pStyle w:val="Compact"/>
                    <w:jc w:val="right"/>
                    <w:jc w:val="center"/>
                  </w:pPr>
                  <w:r>
                    <w:t xml:space="preserve">Minimum tail ESS</w:t>
                  </w:r>
                </w:p>
              </w:tc>
              <w:tc>
                <w:tcPr/>
                <w:p>
                  <w:pPr>
                    <w:pStyle w:val="Compact"/>
                    <w:jc w:val="right"/>
                    <w:jc w:val="center"/>
                  </w:pPr>
                  <w:r>
                    <w:t xml:space="preserve">Divergences</w:t>
                  </w:r>
                </w:p>
              </w:tc>
              <w:tc>
                <w:tcPr/>
                <w:p>
                  <w:pPr>
                    <w:pStyle w:val="Compact"/>
                    <w:jc w:val="right"/>
                    <w:jc w:val="center"/>
                  </w:pPr>
                  <w:r>
                    <w:t xml:space="preserve">Max-treedepth transitions</w:t>
                  </w:r>
                </w:p>
              </w:tc>
              <w:tc>
                <w:tcPr/>
                <w:p>
                  <w:pPr>
                    <w:pStyle w:val="Compact"/>
                    <w:jc w:val="right"/>
                    <w:jc w:val="center"/>
                  </w:pPr>
                  <w:r>
                    <w:t xml:space="preserve">NB shape median</w:t>
                  </w:r>
                </w:p>
              </w:tc>
              <w:tc>
                <w:tcPr/>
                <w:p>
                  <w:pPr>
                    <w:pStyle w:val="Compact"/>
                    <w:jc w:val="right"/>
                    <w:jc w:val="center"/>
                  </w:pPr>
                  <w:r>
                    <w:t xml:space="preserve">NB shape lower 89%</w:t>
                  </w:r>
                </w:p>
              </w:tc>
              <w:tc>
                <w:tcPr/>
                <w:p>
                  <w:pPr>
                    <w:pStyle w:val="Compact"/>
                    <w:jc w:val="right"/>
                    <w:jc w:val="center"/>
                  </w:pPr>
                  <w:r>
                    <w:t xml:space="preserve">NB shape upper 89%</w:t>
                  </w:r>
                </w:p>
              </w:tc>
            </w:tr>
            <w:tr>
              <w:tc>
                <w:tcPr/>
                <w:p>
                  <w:pPr>
                    <w:pStyle w:val="Compact"/>
                    <w:jc w:val="left"/>
                    <w:jc w:val="center"/>
                  </w:pPr>
                  <w:r>
                    <w:t xml:space="preserve">Aggregate seasonal</w:t>
                  </w:r>
                </w:p>
              </w:tc>
              <w:tc>
                <w:tcPr/>
                <w:p>
                  <w:pPr>
                    <w:pStyle w:val="Compact"/>
                    <w:jc w:val="right"/>
                    <w:jc w:val="center"/>
                  </w:pPr>
                  <w:r>
                    <w:t xml:space="preserve">1056</w:t>
                  </w:r>
                </w:p>
              </w:tc>
              <w:tc>
                <w:tcPr/>
                <w:p>
                  <w:pPr>
                    <w:pStyle w:val="Compact"/>
                    <w:jc w:val="right"/>
                    <w:jc w:val="center"/>
                  </w:pPr>
                  <w:r>
                    <w:t xml:space="preserve">12000</w:t>
                  </w:r>
                </w:p>
              </w:tc>
              <w:tc>
                <w:tcPr/>
                <w:p>
                  <w:pPr>
                    <w:pStyle w:val="Compact"/>
                    <w:jc w:val="right"/>
                    <w:jc w:val="center"/>
                  </w:pPr>
                  <w:r>
                    <w:t xml:space="preserve">1</w:t>
                  </w:r>
                </w:p>
              </w:tc>
              <w:tc>
                <w:tcPr/>
                <w:p>
                  <w:pPr>
                    <w:pStyle w:val="Compact"/>
                    <w:jc w:val="right"/>
                    <w:jc w:val="center"/>
                  </w:pPr>
                  <w:r>
                    <w:t xml:space="preserve">2175</w:t>
                  </w:r>
                </w:p>
              </w:tc>
              <w:tc>
                <w:tcPr/>
                <w:p>
                  <w:pPr>
                    <w:pStyle w:val="Compact"/>
                    <w:jc w:val="right"/>
                    <w:jc w:val="center"/>
                  </w:pPr>
                  <w:r>
                    <w:t xml:space="preserve">4238</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4.28</w:t>
                  </w:r>
                </w:p>
              </w:tc>
              <w:tc>
                <w:tcPr/>
                <w:p>
                  <w:pPr>
                    <w:pStyle w:val="Compact"/>
                    <w:jc w:val="right"/>
                    <w:jc w:val="center"/>
                  </w:pPr>
                  <w:r>
                    <w:t xml:space="preserve">3.92</w:t>
                  </w:r>
                </w:p>
              </w:tc>
              <w:tc>
                <w:tcPr/>
                <w:p>
                  <w:pPr>
                    <w:pStyle w:val="Compact"/>
                    <w:jc w:val="right"/>
                    <w:jc w:val="center"/>
                  </w:pPr>
                  <w:r>
                    <w:t xml:space="preserve">4.67</w:t>
                  </w:r>
                </w:p>
              </w:tc>
            </w:tr>
            <w:tr>
              <w:tc>
                <w:tcPr/>
                <w:p>
                  <w:pPr>
                    <w:pStyle w:val="Compact"/>
                    <w:jc w:val="left"/>
                    <w:jc w:val="center"/>
                  </w:pPr>
                  <w:r>
                    <w:t xml:space="preserve">Aggregate environmental</w:t>
                  </w:r>
                </w:p>
              </w:tc>
              <w:tc>
                <w:tcPr/>
                <w:p>
                  <w:pPr>
                    <w:pStyle w:val="Compact"/>
                    <w:jc w:val="right"/>
                    <w:jc w:val="center"/>
                  </w:pPr>
                  <w:r>
                    <w:t xml:space="preserve">1056</w:t>
                  </w:r>
                </w:p>
              </w:tc>
              <w:tc>
                <w:tcPr/>
                <w:p>
                  <w:pPr>
                    <w:pStyle w:val="Compact"/>
                    <w:jc w:val="right"/>
                    <w:jc w:val="center"/>
                  </w:pPr>
                  <w:r>
                    <w:t xml:space="preserve">12000</w:t>
                  </w:r>
                </w:p>
              </w:tc>
              <w:tc>
                <w:tcPr/>
                <w:p>
                  <w:pPr>
                    <w:pStyle w:val="Compact"/>
                    <w:jc w:val="right"/>
                    <w:jc w:val="center"/>
                  </w:pPr>
                  <w:r>
                    <w:t xml:space="preserve">1</w:t>
                  </w:r>
                </w:p>
              </w:tc>
              <w:tc>
                <w:tcPr/>
                <w:p>
                  <w:pPr>
                    <w:pStyle w:val="Compact"/>
                    <w:jc w:val="right"/>
                    <w:jc w:val="center"/>
                  </w:pPr>
                  <w:r>
                    <w:t xml:space="preserve">1865</w:t>
                  </w:r>
                </w:p>
              </w:tc>
              <w:tc>
                <w:tcPr/>
                <w:p>
                  <w:pPr>
                    <w:pStyle w:val="Compact"/>
                    <w:jc w:val="right"/>
                    <w:jc w:val="center"/>
                  </w:pPr>
                  <w:r>
                    <w:t xml:space="preserve">2712</w:t>
                  </w:r>
                </w:p>
              </w:tc>
              <w:tc>
                <w:tcPr/>
                <w:p>
                  <w:pPr>
                    <w:pStyle w:val="Compact"/>
                    <w:jc w:val="right"/>
                    <w:jc w:val="center"/>
                  </w:pPr>
                  <w:r>
                    <w:t xml:space="preserve">0</w:t>
                  </w:r>
                </w:p>
              </w:tc>
              <w:tc>
                <w:tcPr/>
                <w:p>
                  <w:pPr>
                    <w:pStyle w:val="Compact"/>
                    <w:jc w:val="right"/>
                    <w:jc w:val="center"/>
                  </w:pPr>
                  <w:r>
                    <w:t xml:space="preserve">7</w:t>
                  </w:r>
                </w:p>
              </w:tc>
              <w:tc>
                <w:tcPr/>
                <w:p>
                  <w:pPr>
                    <w:pStyle w:val="Compact"/>
                    <w:jc w:val="right"/>
                    <w:jc w:val="center"/>
                  </w:pPr>
                  <w:r>
                    <w:t xml:space="preserve">8.52</w:t>
                  </w:r>
                </w:p>
              </w:tc>
              <w:tc>
                <w:tcPr/>
                <w:p>
                  <w:pPr>
                    <w:pStyle w:val="Compact"/>
                    <w:jc w:val="right"/>
                    <w:jc w:val="center"/>
                  </w:pPr>
                  <w:r>
                    <w:t xml:space="preserve">7.66</w:t>
                  </w:r>
                </w:p>
              </w:tc>
              <w:tc>
                <w:tcPr/>
                <w:p>
                  <w:pPr>
                    <w:pStyle w:val="Compact"/>
                    <w:jc w:val="right"/>
                    <w:jc w:val="center"/>
                  </w:pPr>
                  <w:r>
                    <w:t xml:space="preserve">9.46</w:t>
                  </w:r>
                </w:p>
              </w:tc>
            </w:tr>
          </w:tbl>
          <w:bookmarkEnd w:id="12"/>
          <w:p/>
        </w:tc>
      </w:tr>
    </w:tbl>
    <w:bookmarkEnd w:id="13"/>
    <w:bookmarkStart w:id="15" w:name="X1092e94e5ecfb0b0af5f858dcf03ebea1a8dba3"/>
    <w:p>
      <w:pPr>
        <w:pStyle w:val="Heading2"/>
      </w:pPr>
      <w:r>
        <w:t xml:space="preserve">Table S3. Frequency-group model sampling diagnostics</w:t>
      </w:r>
    </w:p>
    <w:tbl>
      <w:tblPr>
        <w:tblStyle w:val="Table"/>
        <w:tblW w:type="pct" w:w="5000"/>
        <w:tblLayout w:type="fixed"/>
        <w:tblLook w:firstRow="0" w:lastRow="0" w:firstColumn="0" w:lastColumn="0" w:noHBand="0" w:noVBand="0" w:val="0000"/>
      </w:tblPr>
      <w:tblGrid>
        <w:gridCol w:w="7920"/>
      </w:tblGrid>
      <w:tr>
        <w:tc>
          <w:tcPr/>
          <w:bookmarkStart w:id="14" w:name="tbl-s3-frequency-diagnostics"/>
          <w:p>
            <w:pPr>
              <w:jc w:val="center"/>
            </w:pPr>
            <w:pPr>
              <w:jc w:val="left"/>
              <w:spacing w:before="200"/>
              <w:pStyle w:val="ImageCaption"/>
            </w:pPr>
            <w:r>
              <w:t xml:space="preserve">Table 3: MCMC sampling diagnostics for the final low-, mid-, and high-frequency conditional environmental models. Negative-binomial shape is summarized by the posterior median and 89% credible interval.</w:t>
            </w:r>
          </w:p>
          <w:tbl>
            <w:tblPr>
              <w:tblStyle w:val="Table"/>
              <w:tblW w:type="pct" w:w="5000"/>
              <w:tblLayout w:type="fixed"/>
              <w:tblLook w:firstRow="1" w:lastRow="0" w:firstColumn="0" w:lastColumn="0" w:noHBand="0" w:noVBand="0" w:val="0020"/>
            </w:tblPr>
            <w:tblGrid>
              <w:gridCol w:w="870"/>
              <w:gridCol w:w="497"/>
              <w:gridCol w:w="746"/>
              <w:gridCol w:w="580"/>
              <w:gridCol w:w="704"/>
              <w:gridCol w:w="704"/>
              <w:gridCol w:w="497"/>
              <w:gridCol w:w="1078"/>
              <w:gridCol w:w="663"/>
              <w:gridCol w:w="787"/>
              <w:gridCol w:w="787"/>
            </w:tblGrid>
            <w:tr>
              <w:trPr>
                <w:tblHeader w:val="on"/>
              </w:trPr>
              <w:tc>
                <w:tcPr/>
                <w:p>
                  <w:pPr>
                    <w:pStyle w:val="Compact"/>
                    <w:jc w:val="left"/>
                    <w:jc w:val="center"/>
                  </w:pPr>
                  <w:r>
                    <w:t xml:space="preserve">Model</w:t>
                  </w:r>
                </w:p>
              </w:tc>
              <w:tc>
                <w:tcPr/>
                <w:p>
                  <w:pPr>
                    <w:pStyle w:val="Compact"/>
                    <w:jc w:val="right"/>
                    <w:jc w:val="center"/>
                  </w:pPr>
                  <w:r>
                    <w:t xml:space="preserve">Site-nights</w:t>
                  </w:r>
                </w:p>
              </w:tc>
              <w:tc>
                <w:tcPr/>
                <w:p>
                  <w:pPr>
                    <w:pStyle w:val="Compact"/>
                    <w:jc w:val="right"/>
                    <w:jc w:val="center"/>
                  </w:pPr>
                  <w:r>
                    <w:t xml:space="preserve">Post-warmup draws</w:t>
                  </w:r>
                </w:p>
              </w:tc>
              <w:tc>
                <w:tcPr/>
                <w:p>
                  <w:pPr>
                    <w:pStyle w:val="Compact"/>
                    <w:jc w:val="right"/>
                    <w:jc w:val="center"/>
                  </w:pPr>
                  <w:r>
                    <w:t xml:space="preserve">Maximum R-hat</w:t>
                  </w:r>
                </w:p>
              </w:tc>
              <w:tc>
                <w:tcPr/>
                <w:p>
                  <w:pPr>
                    <w:pStyle w:val="Compact"/>
                    <w:jc w:val="right"/>
                    <w:jc w:val="center"/>
                  </w:pPr>
                  <w:r>
                    <w:t xml:space="preserve">Minimum bulk ESS</w:t>
                  </w:r>
                </w:p>
              </w:tc>
              <w:tc>
                <w:tcPr/>
                <w:p>
                  <w:pPr>
                    <w:pStyle w:val="Compact"/>
                    <w:jc w:val="right"/>
                    <w:jc w:val="center"/>
                  </w:pPr>
                  <w:r>
                    <w:t xml:space="preserve">Minimum tail ESS</w:t>
                  </w:r>
                </w:p>
              </w:tc>
              <w:tc>
                <w:tcPr/>
                <w:p>
                  <w:pPr>
                    <w:pStyle w:val="Compact"/>
                    <w:jc w:val="right"/>
                    <w:jc w:val="center"/>
                  </w:pPr>
                  <w:r>
                    <w:t xml:space="preserve">Divergences</w:t>
                  </w:r>
                </w:p>
              </w:tc>
              <w:tc>
                <w:tcPr/>
                <w:p>
                  <w:pPr>
                    <w:pStyle w:val="Compact"/>
                    <w:jc w:val="right"/>
                    <w:jc w:val="center"/>
                  </w:pPr>
                  <w:r>
                    <w:t xml:space="preserve">Max-treedepth transitions</w:t>
                  </w:r>
                </w:p>
              </w:tc>
              <w:tc>
                <w:tcPr/>
                <w:p>
                  <w:pPr>
                    <w:pStyle w:val="Compact"/>
                    <w:jc w:val="right"/>
                    <w:jc w:val="center"/>
                  </w:pPr>
                  <w:r>
                    <w:t xml:space="preserve">NB shape median</w:t>
                  </w:r>
                </w:p>
              </w:tc>
              <w:tc>
                <w:tcPr/>
                <w:p>
                  <w:pPr>
                    <w:pStyle w:val="Compact"/>
                    <w:jc w:val="right"/>
                    <w:jc w:val="center"/>
                  </w:pPr>
                  <w:r>
                    <w:t xml:space="preserve">NB shape lower 89%</w:t>
                  </w:r>
                </w:p>
              </w:tc>
              <w:tc>
                <w:tcPr/>
                <w:p>
                  <w:pPr>
                    <w:pStyle w:val="Compact"/>
                    <w:jc w:val="right"/>
                    <w:jc w:val="center"/>
                  </w:pPr>
                  <w:r>
                    <w:t xml:space="preserve">NB shape upper 89%</w:t>
                  </w:r>
                </w:p>
              </w:tc>
            </w:tr>
            <w:tr>
              <w:tc>
                <w:tcPr/>
                <w:p>
                  <w:pPr>
                    <w:pStyle w:val="Compact"/>
                    <w:jc w:val="left"/>
                    <w:jc w:val="center"/>
                  </w:pPr>
                  <w:r>
                    <w:t xml:space="preserve">Low-frequency group</w:t>
                  </w:r>
                </w:p>
              </w:tc>
              <w:tc>
                <w:tcPr/>
                <w:p>
                  <w:pPr>
                    <w:pStyle w:val="Compact"/>
                    <w:jc w:val="right"/>
                    <w:jc w:val="center"/>
                  </w:pPr>
                  <w:r>
                    <w:t xml:space="preserve">1056</w:t>
                  </w:r>
                </w:p>
              </w:tc>
              <w:tc>
                <w:tcPr/>
                <w:p>
                  <w:pPr>
                    <w:pStyle w:val="Compact"/>
                    <w:jc w:val="right"/>
                    <w:jc w:val="center"/>
                  </w:pPr>
                  <w:r>
                    <w:t xml:space="preserve">12000</w:t>
                  </w:r>
                </w:p>
              </w:tc>
              <w:tc>
                <w:tcPr/>
                <w:p>
                  <w:pPr>
                    <w:pStyle w:val="Compact"/>
                    <w:jc w:val="right"/>
                    <w:jc w:val="center"/>
                  </w:pPr>
                  <w:r>
                    <w:t xml:space="preserve">1</w:t>
                  </w:r>
                </w:p>
              </w:tc>
              <w:tc>
                <w:tcPr/>
                <w:p>
                  <w:pPr>
                    <w:pStyle w:val="Compact"/>
                    <w:jc w:val="right"/>
                    <w:jc w:val="center"/>
                  </w:pPr>
                  <w:r>
                    <w:t xml:space="preserve">2984</w:t>
                  </w:r>
                </w:p>
              </w:tc>
              <w:tc>
                <w:tcPr/>
                <w:p>
                  <w:pPr>
                    <w:pStyle w:val="Compact"/>
                    <w:jc w:val="right"/>
                    <w:jc w:val="center"/>
                  </w:pPr>
                  <w:r>
                    <w:t xml:space="preserve">4306</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2.02</w:t>
                  </w:r>
                </w:p>
              </w:tc>
              <w:tc>
                <w:tcPr/>
                <w:p>
                  <w:pPr>
                    <w:pStyle w:val="Compact"/>
                    <w:jc w:val="right"/>
                    <w:jc w:val="center"/>
                  </w:pPr>
                  <w:r>
                    <w:t xml:space="preserve">1.78</w:t>
                  </w:r>
                </w:p>
              </w:tc>
              <w:tc>
                <w:tcPr/>
                <w:p>
                  <w:pPr>
                    <w:pStyle w:val="Compact"/>
                    <w:jc w:val="right"/>
                    <w:jc w:val="center"/>
                  </w:pPr>
                  <w:r>
                    <w:t xml:space="preserve">2.28</w:t>
                  </w:r>
                </w:p>
              </w:tc>
            </w:tr>
            <w:tr>
              <w:tc>
                <w:tcPr/>
                <w:p>
                  <w:pPr>
                    <w:pStyle w:val="Compact"/>
                    <w:jc w:val="left"/>
                    <w:jc w:val="center"/>
                  </w:pPr>
                  <w:r>
                    <w:t xml:space="preserve">Mid-frequency group</w:t>
                  </w:r>
                </w:p>
              </w:tc>
              <w:tc>
                <w:tcPr/>
                <w:p>
                  <w:pPr>
                    <w:pStyle w:val="Compact"/>
                    <w:jc w:val="right"/>
                    <w:jc w:val="center"/>
                  </w:pPr>
                  <w:r>
                    <w:t xml:space="preserve">1056</w:t>
                  </w:r>
                </w:p>
              </w:tc>
              <w:tc>
                <w:tcPr/>
                <w:p>
                  <w:pPr>
                    <w:pStyle w:val="Compact"/>
                    <w:jc w:val="right"/>
                    <w:jc w:val="center"/>
                  </w:pPr>
                  <w:r>
                    <w:t xml:space="preserve">12000</w:t>
                  </w:r>
                </w:p>
              </w:tc>
              <w:tc>
                <w:tcPr/>
                <w:p>
                  <w:pPr>
                    <w:pStyle w:val="Compact"/>
                    <w:jc w:val="right"/>
                    <w:jc w:val="center"/>
                  </w:pPr>
                  <w:r>
                    <w:t xml:space="preserve">1</w:t>
                  </w:r>
                </w:p>
              </w:tc>
              <w:tc>
                <w:tcPr/>
                <w:p>
                  <w:pPr>
                    <w:pStyle w:val="Compact"/>
                    <w:jc w:val="right"/>
                    <w:jc w:val="center"/>
                  </w:pPr>
                  <w:r>
                    <w:t xml:space="preserve">1799</w:t>
                  </w:r>
                </w:p>
              </w:tc>
              <w:tc>
                <w:tcPr/>
                <w:p>
                  <w:pPr>
                    <w:pStyle w:val="Compact"/>
                    <w:jc w:val="right"/>
                    <w:jc w:val="center"/>
                  </w:pPr>
                  <w:r>
                    <w:t xml:space="preserve">2165</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3.22</w:t>
                  </w:r>
                </w:p>
              </w:tc>
              <w:tc>
                <w:tcPr/>
                <w:p>
                  <w:pPr>
                    <w:pStyle w:val="Compact"/>
                    <w:jc w:val="right"/>
                    <w:jc w:val="center"/>
                  </w:pPr>
                  <w:r>
                    <w:t xml:space="preserve">2.90</w:t>
                  </w:r>
                </w:p>
              </w:tc>
              <w:tc>
                <w:tcPr/>
                <w:p>
                  <w:pPr>
                    <w:pStyle w:val="Compact"/>
                    <w:jc w:val="right"/>
                    <w:jc w:val="center"/>
                  </w:pPr>
                  <w:r>
                    <w:t xml:space="preserve">3.58</w:t>
                  </w:r>
                </w:p>
              </w:tc>
            </w:tr>
            <w:tr>
              <w:tc>
                <w:tcPr/>
                <w:p>
                  <w:pPr>
                    <w:pStyle w:val="Compact"/>
                    <w:jc w:val="left"/>
                    <w:jc w:val="center"/>
                  </w:pPr>
                  <w:r>
                    <w:t xml:space="preserve">High-frequency group</w:t>
                  </w:r>
                </w:p>
              </w:tc>
              <w:tc>
                <w:tcPr/>
                <w:p>
                  <w:pPr>
                    <w:pStyle w:val="Compact"/>
                    <w:jc w:val="right"/>
                    <w:jc w:val="center"/>
                  </w:pPr>
                  <w:r>
                    <w:t xml:space="preserve">1056</w:t>
                  </w:r>
                </w:p>
              </w:tc>
              <w:tc>
                <w:tcPr/>
                <w:p>
                  <w:pPr>
                    <w:pStyle w:val="Compact"/>
                    <w:jc w:val="right"/>
                    <w:jc w:val="center"/>
                  </w:pPr>
                  <w:r>
                    <w:t xml:space="preserve">12000</w:t>
                  </w:r>
                </w:p>
              </w:tc>
              <w:tc>
                <w:tcPr/>
                <w:p>
                  <w:pPr>
                    <w:pStyle w:val="Compact"/>
                    <w:jc w:val="right"/>
                    <w:jc w:val="center"/>
                  </w:pPr>
                  <w:r>
                    <w:t xml:space="preserve">1</w:t>
                  </w:r>
                </w:p>
              </w:tc>
              <w:tc>
                <w:tcPr/>
                <w:p>
                  <w:pPr>
                    <w:pStyle w:val="Compact"/>
                    <w:jc w:val="right"/>
                    <w:jc w:val="center"/>
                  </w:pPr>
                  <w:r>
                    <w:t xml:space="preserve">1696</w:t>
                  </w:r>
                </w:p>
              </w:tc>
              <w:tc>
                <w:tcPr/>
                <w:p>
                  <w:pPr>
                    <w:pStyle w:val="Compact"/>
                    <w:jc w:val="right"/>
                    <w:jc w:val="center"/>
                  </w:pPr>
                  <w:r>
                    <w:t xml:space="preserve">2437</w:t>
                  </w:r>
                </w:p>
              </w:tc>
              <w:tc>
                <w:tcPr/>
                <w:p>
                  <w:pPr>
                    <w:pStyle w:val="Compact"/>
                    <w:jc w:val="right"/>
                    <w:jc w:val="center"/>
                  </w:pPr>
                  <w:r>
                    <w:t xml:space="preserve">0</w:t>
                  </w:r>
                </w:p>
              </w:tc>
              <w:tc>
                <w:tcPr/>
                <w:p>
                  <w:pPr>
                    <w:pStyle w:val="Compact"/>
                    <w:jc w:val="right"/>
                    <w:jc w:val="center"/>
                  </w:pPr>
                  <w:r>
                    <w:t xml:space="preserve">3012</w:t>
                  </w:r>
                </w:p>
              </w:tc>
              <w:tc>
                <w:tcPr/>
                <w:p>
                  <w:pPr>
                    <w:pStyle w:val="Compact"/>
                    <w:jc w:val="right"/>
                    <w:jc w:val="center"/>
                  </w:pPr>
                  <w:r>
                    <w:t xml:space="preserve">10.01</w:t>
                  </w:r>
                </w:p>
              </w:tc>
              <w:tc>
                <w:tcPr/>
                <w:p>
                  <w:pPr>
                    <w:pStyle w:val="Compact"/>
                    <w:jc w:val="right"/>
                    <w:jc w:val="center"/>
                  </w:pPr>
                  <w:r>
                    <w:t xml:space="preserve">8.82</w:t>
                  </w:r>
                </w:p>
              </w:tc>
              <w:tc>
                <w:tcPr/>
                <w:p>
                  <w:pPr>
                    <w:pStyle w:val="Compact"/>
                    <w:jc w:val="right"/>
                    <w:jc w:val="center"/>
                  </w:pPr>
                  <w:r>
                    <w:t xml:space="preserve">11.38</w:t>
                  </w:r>
                </w:p>
              </w:tc>
            </w:tr>
          </w:tbl>
          <w:bookmarkEnd w:id="14"/>
          <w:p/>
        </w:tc>
      </w:tr>
    </w:tbl>
    <w:bookmarkEnd w:id="15"/>
    <w:bookmarkStart w:id="17" w:name="X213b332144e57f0080ba56bed0fa70790a729b7"/>
    <w:p>
      <w:pPr>
        <w:pStyle w:val="Heading2"/>
      </w:pPr>
      <w:r>
        <w:t xml:space="preserve">Table S4. Species composition and characteristic echolocation-frequency groups</w:t>
      </w:r>
    </w:p>
    <w:tbl>
      <w:tblPr>
        <w:tblStyle w:val="Table"/>
        <w:tblW w:type="pct" w:w="5000"/>
        <w:tblLayout w:type="fixed"/>
        <w:tblLook w:firstRow="0" w:lastRow="0" w:firstColumn="0" w:lastColumn="0" w:noHBand="0" w:noVBand="0" w:val="0000"/>
      </w:tblPr>
      <w:tblGrid>
        <w:gridCol w:w="7920"/>
      </w:tblGrid>
      <w:tr>
        <w:tc>
          <w:tcPr/>
          <w:bookmarkStart w:id="16" w:name="tbl-s4-species"/>
          <w:p>
            <w:pPr>
              <w:jc w:val="center"/>
            </w:pPr>
            <w:pPr>
              <w:jc w:val="left"/>
              <w:spacing w:before="200"/>
              <w:pStyle w:val="ImageCaption"/>
            </w:pPr>
            <w:r>
              <w:t xml:space="preserve">Table 4: Bat species included in the analysis, characteristic echolocation frequency, assigned frequency group, total number of 5-min detection intervals, and number of retained site-nights on which each species was detected.</w:t>
            </w:r>
          </w:p>
          <w:tbl>
            <w:tblPr>
              <w:tblStyle w:val="Table"/>
              <w:tblW w:type="pct" w:w="5000"/>
              <w:tblLayout w:type="fixed"/>
              <w:tblLook w:firstRow="1" w:lastRow="0" w:firstColumn="0" w:lastColumn="0" w:noHBand="0" w:noVBand="0" w:val="0020"/>
            </w:tblPr>
            <w:tblGrid>
              <w:gridCol w:w="681"/>
              <w:gridCol w:w="1363"/>
              <w:gridCol w:w="1468"/>
              <w:gridCol w:w="1625"/>
              <w:gridCol w:w="839"/>
              <w:gridCol w:w="839"/>
              <w:gridCol w:w="1101"/>
            </w:tblGrid>
            <w:tr>
              <w:trPr>
                <w:tblHeader w:val="on"/>
              </w:trPr>
              <w:tc>
                <w:tcPr/>
                <w:p>
                  <w:pPr>
                    <w:pStyle w:val="Compact"/>
                    <w:jc w:val="left"/>
                    <w:jc w:val="center"/>
                  </w:pPr>
                  <w:r>
                    <w:t xml:space="preserve">Species code</w:t>
                  </w:r>
                </w:p>
              </w:tc>
              <w:tc>
                <w:tcPr/>
                <w:p>
                  <w:pPr>
                    <w:pStyle w:val="Compact"/>
                    <w:jc w:val="left"/>
                    <w:jc w:val="center"/>
                  </w:pPr>
                  <w:r>
                    <w:t xml:space="preserve">Scientific name</w:t>
                  </w:r>
                </w:p>
              </w:tc>
              <w:tc>
                <w:tcPr/>
                <w:p>
                  <w:pPr>
                    <w:pStyle w:val="Compact"/>
                    <w:jc w:val="left"/>
                    <w:jc w:val="center"/>
                  </w:pPr>
                  <w:r>
                    <w:t xml:space="preserve">Common name</w:t>
                  </w:r>
                </w:p>
              </w:tc>
              <w:tc>
                <w:tcPr/>
                <w:p>
                  <w:pPr>
                    <w:pStyle w:val="Compact"/>
                    <w:jc w:val="right"/>
                    <w:jc w:val="center"/>
                  </w:pPr>
                  <w:r>
                    <w:t xml:space="preserve">Characteristic frequency (kHz)</w:t>
                  </w:r>
                </w:p>
              </w:tc>
              <w:tc>
                <w:tcPr/>
                <w:p>
                  <w:pPr>
                    <w:pStyle w:val="Compact"/>
                    <w:jc w:val="left"/>
                    <w:jc w:val="center"/>
                  </w:pPr>
                  <w:r>
                    <w:t xml:space="preserve">Frequency group</w:t>
                  </w:r>
                </w:p>
              </w:tc>
              <w:tc>
                <w:tcPr/>
                <w:p>
                  <w:pPr>
                    <w:pStyle w:val="Compact"/>
                    <w:jc w:val="right"/>
                    <w:jc w:val="center"/>
                  </w:pPr>
                  <w:r>
                    <w:t xml:space="preserve">Total intervals</w:t>
                  </w:r>
                </w:p>
              </w:tc>
              <w:tc>
                <w:tcPr/>
                <w:p>
                  <w:pPr>
                    <w:pStyle w:val="Compact"/>
                    <w:jc w:val="right"/>
                    <w:jc w:val="center"/>
                  </w:pPr>
                  <w:r>
                    <w:t xml:space="preserve">Site-nights detected</w:t>
                  </w:r>
                </w:p>
              </w:tc>
            </w:tr>
            <w:tr>
              <w:tc>
                <w:tcPr/>
                <w:p>
                  <w:pPr>
                    <w:pStyle w:val="Compact"/>
                    <w:jc w:val="left"/>
                    <w:jc w:val="center"/>
                  </w:pPr>
                  <w:r>
                    <w:t xml:space="preserve">EUDMAC</w:t>
                  </w:r>
                </w:p>
              </w:tc>
              <w:tc>
                <w:tcPr/>
                <w:p>
                  <w:pPr>
                    <w:pStyle w:val="Compact"/>
                    <w:jc w:val="left"/>
                    <w:jc w:val="center"/>
                  </w:pPr>
                  <w:r>
                    <w:t xml:space="preserve">Euderma maculatum</w:t>
                  </w:r>
                </w:p>
              </w:tc>
              <w:tc>
                <w:tcPr/>
                <w:p>
                  <w:pPr>
                    <w:pStyle w:val="Compact"/>
                    <w:jc w:val="left"/>
                    <w:jc w:val="center"/>
                  </w:pPr>
                  <w:r>
                    <w:t xml:space="preserve">Spotted bat</w:t>
                  </w:r>
                </w:p>
              </w:tc>
              <w:tc>
                <w:tcPr/>
                <w:p>
                  <w:pPr>
                    <w:pStyle w:val="Compact"/>
                    <w:jc w:val="right"/>
                    <w:jc w:val="center"/>
                  </w:pPr>
                  <w:r>
                    <w:t xml:space="preserve">11</w:t>
                  </w:r>
                </w:p>
              </w:tc>
              <w:tc>
                <w:tcPr/>
                <w:p>
                  <w:pPr>
                    <w:pStyle w:val="Compact"/>
                    <w:jc w:val="left"/>
                    <w:jc w:val="center"/>
                  </w:pPr>
                  <w:r>
                    <w:t xml:space="preserve">Low</w:t>
                  </w:r>
                </w:p>
              </w:tc>
              <w:tc>
                <w:tcPr/>
                <w:p>
                  <w:pPr>
                    <w:pStyle w:val="Compact"/>
                    <w:jc w:val="right"/>
                    <w:jc w:val="center"/>
                  </w:pPr>
                  <w:r>
                    <w:t xml:space="preserve">122</w:t>
                  </w:r>
                </w:p>
              </w:tc>
              <w:tc>
                <w:tcPr/>
                <w:p>
                  <w:pPr>
                    <w:pStyle w:val="Compact"/>
                    <w:jc w:val="right"/>
                    <w:jc w:val="center"/>
                  </w:pPr>
                  <w:r>
                    <w:t xml:space="preserve">49</w:t>
                  </w:r>
                </w:p>
              </w:tc>
            </w:tr>
            <w:tr>
              <w:tc>
                <w:tcPr/>
                <w:p>
                  <w:pPr>
                    <w:pStyle w:val="Compact"/>
                    <w:jc w:val="left"/>
                    <w:jc w:val="center"/>
                  </w:pPr>
                  <w:r>
                    <w:t xml:space="preserve">EUMPER</w:t>
                  </w:r>
                </w:p>
              </w:tc>
              <w:tc>
                <w:tcPr/>
                <w:p>
                  <w:pPr>
                    <w:pStyle w:val="Compact"/>
                    <w:jc w:val="left"/>
                    <w:jc w:val="center"/>
                  </w:pPr>
                  <w:r>
                    <w:t xml:space="preserve">Eumops perotis</w:t>
                  </w:r>
                </w:p>
              </w:tc>
              <w:tc>
                <w:tcPr/>
                <w:p>
                  <w:pPr>
                    <w:pStyle w:val="Compact"/>
                    <w:jc w:val="left"/>
                    <w:jc w:val="center"/>
                  </w:pPr>
                  <w:r>
                    <w:t xml:space="preserve">Western mastiff bat</w:t>
                  </w:r>
                </w:p>
              </w:tc>
              <w:tc>
                <w:tcPr/>
                <w:p>
                  <w:pPr>
                    <w:pStyle w:val="Compact"/>
                    <w:jc w:val="right"/>
                    <w:jc w:val="center"/>
                  </w:pPr>
                  <w:r>
                    <w:t xml:space="preserve">12</w:t>
                  </w:r>
                </w:p>
              </w:tc>
              <w:tc>
                <w:tcPr/>
                <w:p>
                  <w:pPr>
                    <w:pStyle w:val="Compact"/>
                    <w:jc w:val="left"/>
                    <w:jc w:val="center"/>
                  </w:pPr>
                  <w:r>
                    <w:t xml:space="preserve">Low</w:t>
                  </w:r>
                </w:p>
              </w:tc>
              <w:tc>
                <w:tcPr/>
                <w:p>
                  <w:pPr>
                    <w:pStyle w:val="Compact"/>
                    <w:jc w:val="right"/>
                    <w:jc w:val="center"/>
                  </w:pPr>
                  <w:r>
                    <w:t xml:space="preserve">1209</w:t>
                  </w:r>
                </w:p>
              </w:tc>
              <w:tc>
                <w:tcPr/>
                <w:p>
                  <w:pPr>
                    <w:pStyle w:val="Compact"/>
                    <w:jc w:val="right"/>
                    <w:jc w:val="center"/>
                  </w:pPr>
                  <w:r>
                    <w:t xml:space="preserve">251</w:t>
                  </w:r>
                </w:p>
              </w:tc>
            </w:tr>
            <w:tr>
              <w:tc>
                <w:tcPr/>
                <w:p>
                  <w:pPr>
                    <w:pStyle w:val="Compact"/>
                    <w:jc w:val="left"/>
                    <w:jc w:val="center"/>
                  </w:pPr>
                  <w:r>
                    <w:t xml:space="preserve">LASCIN</w:t>
                  </w:r>
                </w:p>
              </w:tc>
              <w:tc>
                <w:tcPr/>
                <w:p>
                  <w:pPr>
                    <w:pStyle w:val="Compact"/>
                    <w:jc w:val="left"/>
                    <w:jc w:val="center"/>
                  </w:pPr>
                  <w:r>
                    <w:t xml:space="preserve">Lasiurus cinereus</w:t>
                  </w:r>
                </w:p>
              </w:tc>
              <w:tc>
                <w:tcPr/>
                <w:p>
                  <w:pPr>
                    <w:pStyle w:val="Compact"/>
                    <w:jc w:val="left"/>
                    <w:jc w:val="center"/>
                  </w:pPr>
                  <w:r>
                    <w:t xml:space="preserve">Hoary bat</w:t>
                  </w:r>
                </w:p>
              </w:tc>
              <w:tc>
                <w:tcPr/>
                <w:p>
                  <w:pPr>
                    <w:pStyle w:val="Compact"/>
                    <w:jc w:val="right"/>
                    <w:jc w:val="center"/>
                  </w:pPr>
                  <w:r>
                    <w:t xml:space="preserve">20</w:t>
                  </w:r>
                </w:p>
              </w:tc>
              <w:tc>
                <w:tcPr/>
                <w:p>
                  <w:pPr>
                    <w:pStyle w:val="Compact"/>
                    <w:jc w:val="left"/>
                    <w:jc w:val="center"/>
                  </w:pPr>
                  <w:r>
                    <w:t xml:space="preserve">Low</w:t>
                  </w:r>
                </w:p>
              </w:tc>
              <w:tc>
                <w:tcPr/>
                <w:p>
                  <w:pPr>
                    <w:pStyle w:val="Compact"/>
                    <w:jc w:val="right"/>
                    <w:jc w:val="center"/>
                  </w:pPr>
                  <w:r>
                    <w:t xml:space="preserve">5834</w:t>
                  </w:r>
                </w:p>
              </w:tc>
              <w:tc>
                <w:tcPr/>
                <w:p>
                  <w:pPr>
                    <w:pStyle w:val="Compact"/>
                    <w:jc w:val="right"/>
                    <w:jc w:val="center"/>
                  </w:pPr>
                  <w:r>
                    <w:t xml:space="preserve">727</w:t>
                  </w:r>
                </w:p>
              </w:tc>
            </w:tr>
            <w:tr>
              <w:tc>
                <w:tcPr/>
                <w:p>
                  <w:pPr>
                    <w:pStyle w:val="Compact"/>
                    <w:jc w:val="left"/>
                    <w:jc w:val="center"/>
                  </w:pPr>
                  <w:r>
                    <w:t xml:space="preserve">TADBRA</w:t>
                  </w:r>
                </w:p>
              </w:tc>
              <w:tc>
                <w:tcPr/>
                <w:p>
                  <w:pPr>
                    <w:pStyle w:val="Compact"/>
                    <w:jc w:val="left"/>
                    <w:jc w:val="center"/>
                  </w:pPr>
                  <w:r>
                    <w:t xml:space="preserve">Tadarida brasiliensis</w:t>
                  </w:r>
                </w:p>
              </w:tc>
              <w:tc>
                <w:tcPr/>
                <w:p>
                  <w:pPr>
                    <w:pStyle w:val="Compact"/>
                    <w:jc w:val="left"/>
                    <w:jc w:val="center"/>
                  </w:pPr>
                  <w:r>
                    <w:t xml:space="preserve">Mexican free-tailed bat</w:t>
                  </w:r>
                </w:p>
              </w:tc>
              <w:tc>
                <w:tcPr/>
                <w:p>
                  <w:pPr>
                    <w:pStyle w:val="Compact"/>
                    <w:jc w:val="right"/>
                    <w:jc w:val="center"/>
                  </w:pPr>
                  <w:r>
                    <w:t xml:space="preserve">25</w:t>
                  </w:r>
                </w:p>
              </w:tc>
              <w:tc>
                <w:tcPr/>
                <w:p>
                  <w:pPr>
                    <w:pStyle w:val="Compact"/>
                    <w:jc w:val="left"/>
                    <w:jc w:val="center"/>
                  </w:pPr>
                  <w:r>
                    <w:t xml:space="preserve">Mid</w:t>
                  </w:r>
                </w:p>
              </w:tc>
              <w:tc>
                <w:tcPr/>
                <w:p>
                  <w:pPr>
                    <w:pStyle w:val="Compact"/>
                    <w:jc w:val="right"/>
                    <w:jc w:val="center"/>
                  </w:pPr>
                  <w:r>
                    <w:t xml:space="preserve">11474</w:t>
                  </w:r>
                </w:p>
              </w:tc>
              <w:tc>
                <w:tcPr/>
                <w:p>
                  <w:pPr>
                    <w:pStyle w:val="Compact"/>
                    <w:jc w:val="right"/>
                    <w:jc w:val="center"/>
                  </w:pPr>
                  <w:r>
                    <w:t xml:space="preserve">779</w:t>
                  </w:r>
                </w:p>
              </w:tc>
            </w:tr>
            <w:tr>
              <w:tc>
                <w:tcPr/>
                <w:p>
                  <w:pPr>
                    <w:pStyle w:val="Compact"/>
                    <w:jc w:val="left"/>
                    <w:jc w:val="center"/>
                  </w:pPr>
                  <w:r>
                    <w:t xml:space="preserve">LASNOC</w:t>
                  </w:r>
                </w:p>
              </w:tc>
              <w:tc>
                <w:tcPr/>
                <w:p>
                  <w:pPr>
                    <w:pStyle w:val="Compact"/>
                    <w:jc w:val="left"/>
                    <w:jc w:val="center"/>
                  </w:pPr>
                  <w:r>
                    <w:t xml:space="preserve">Lasionycteris noctivagans</w:t>
                  </w:r>
                </w:p>
              </w:tc>
              <w:tc>
                <w:tcPr/>
                <w:p>
                  <w:pPr>
                    <w:pStyle w:val="Compact"/>
                    <w:jc w:val="left"/>
                    <w:jc w:val="center"/>
                  </w:pPr>
                  <w:r>
                    <w:t xml:space="preserve">Silver-haired bat</w:t>
                  </w:r>
                </w:p>
              </w:tc>
              <w:tc>
                <w:tcPr/>
                <w:p>
                  <w:pPr>
                    <w:pStyle w:val="Compact"/>
                    <w:jc w:val="right"/>
                    <w:jc w:val="center"/>
                  </w:pPr>
                  <w:r>
                    <w:t xml:space="preserve">26</w:t>
                  </w:r>
                </w:p>
              </w:tc>
              <w:tc>
                <w:tcPr/>
                <w:p>
                  <w:pPr>
                    <w:pStyle w:val="Compact"/>
                    <w:jc w:val="left"/>
                    <w:jc w:val="center"/>
                  </w:pPr>
                  <w:r>
                    <w:t xml:space="preserve">Mid</w:t>
                  </w:r>
                </w:p>
              </w:tc>
              <w:tc>
                <w:tcPr/>
                <w:p>
                  <w:pPr>
                    <w:pStyle w:val="Compact"/>
                    <w:jc w:val="right"/>
                    <w:jc w:val="center"/>
                  </w:pPr>
                  <w:r>
                    <w:t xml:space="preserve">9441</w:t>
                  </w:r>
                </w:p>
              </w:tc>
              <w:tc>
                <w:tcPr/>
                <w:p>
                  <w:pPr>
                    <w:pStyle w:val="Compact"/>
                    <w:jc w:val="right"/>
                    <w:jc w:val="center"/>
                  </w:pPr>
                  <w:r>
                    <w:t xml:space="preserve">841</w:t>
                  </w:r>
                </w:p>
              </w:tc>
            </w:tr>
            <w:tr>
              <w:tc>
                <w:tcPr/>
                <w:p>
                  <w:pPr>
                    <w:pStyle w:val="Compact"/>
                    <w:jc w:val="left"/>
                    <w:jc w:val="center"/>
                  </w:pPr>
                  <w:r>
                    <w:t xml:space="preserve">EPTFUS</w:t>
                  </w:r>
                </w:p>
              </w:tc>
              <w:tc>
                <w:tcPr/>
                <w:p>
                  <w:pPr>
                    <w:pStyle w:val="Compact"/>
                    <w:jc w:val="left"/>
                    <w:jc w:val="center"/>
                  </w:pPr>
                  <w:r>
                    <w:t xml:space="preserve">Eptesicus fuscus</w:t>
                  </w:r>
                </w:p>
              </w:tc>
              <w:tc>
                <w:tcPr/>
                <w:p>
                  <w:pPr>
                    <w:pStyle w:val="Compact"/>
                    <w:jc w:val="left"/>
                    <w:jc w:val="center"/>
                  </w:pPr>
                  <w:r>
                    <w:t xml:space="preserve">Big brown bat</w:t>
                  </w:r>
                </w:p>
              </w:tc>
              <w:tc>
                <w:tcPr/>
                <w:p>
                  <w:pPr>
                    <w:pStyle w:val="Compact"/>
                    <w:jc w:val="right"/>
                    <w:jc w:val="center"/>
                  </w:pPr>
                  <w:r>
                    <w:t xml:space="preserve">27</w:t>
                  </w:r>
                </w:p>
              </w:tc>
              <w:tc>
                <w:tcPr/>
                <w:p>
                  <w:pPr>
                    <w:pStyle w:val="Compact"/>
                    <w:jc w:val="left"/>
                    <w:jc w:val="center"/>
                  </w:pPr>
                  <w:r>
                    <w:t xml:space="preserve">Mid</w:t>
                  </w:r>
                </w:p>
              </w:tc>
              <w:tc>
                <w:tcPr/>
                <w:p>
                  <w:pPr>
                    <w:pStyle w:val="Compact"/>
                    <w:jc w:val="right"/>
                    <w:jc w:val="center"/>
                  </w:pPr>
                  <w:r>
                    <w:t xml:space="preserve">6211</w:t>
                  </w:r>
                </w:p>
              </w:tc>
              <w:tc>
                <w:tcPr/>
                <w:p>
                  <w:pPr>
                    <w:pStyle w:val="Compact"/>
                    <w:jc w:val="right"/>
                    <w:jc w:val="center"/>
                  </w:pPr>
                  <w:r>
                    <w:t xml:space="preserve">654</w:t>
                  </w:r>
                </w:p>
              </w:tc>
            </w:tr>
            <w:tr>
              <w:tc>
                <w:tcPr/>
                <w:p>
                  <w:pPr>
                    <w:pStyle w:val="Compact"/>
                    <w:jc w:val="left"/>
                    <w:jc w:val="center"/>
                  </w:pPr>
                  <w:r>
                    <w:t xml:space="preserve">CORTOW</w:t>
                  </w:r>
                </w:p>
              </w:tc>
              <w:tc>
                <w:tcPr/>
                <w:p>
                  <w:pPr>
                    <w:pStyle w:val="Compact"/>
                    <w:jc w:val="left"/>
                    <w:jc w:val="center"/>
                  </w:pPr>
                  <w:r>
                    <w:t xml:space="preserve">Corynorhinus townsendii</w:t>
                  </w:r>
                </w:p>
              </w:tc>
              <w:tc>
                <w:tcPr/>
                <w:p>
                  <w:pPr>
                    <w:pStyle w:val="Compact"/>
                    <w:jc w:val="left"/>
                    <w:jc w:val="center"/>
                  </w:pPr>
                  <w:r>
                    <w:t xml:space="preserve">Townsend’s big-eared bat</w:t>
                  </w:r>
                </w:p>
              </w:tc>
              <w:tc>
                <w:tcPr/>
                <w:p>
                  <w:pPr>
                    <w:pStyle w:val="Compact"/>
                    <w:jc w:val="right"/>
                    <w:jc w:val="center"/>
                  </w:pPr>
                  <w:r>
                    <w:t xml:space="preserve">28</w:t>
                  </w:r>
                </w:p>
              </w:tc>
              <w:tc>
                <w:tcPr/>
                <w:p>
                  <w:pPr>
                    <w:pStyle w:val="Compact"/>
                    <w:jc w:val="left"/>
                    <w:jc w:val="center"/>
                  </w:pPr>
                  <w:r>
                    <w:t xml:space="preserve">Mid</w:t>
                  </w:r>
                </w:p>
              </w:tc>
              <w:tc>
                <w:tcPr/>
                <w:p>
                  <w:pPr>
                    <w:pStyle w:val="Compact"/>
                    <w:jc w:val="right"/>
                    <w:jc w:val="center"/>
                  </w:pPr>
                  <w:r>
                    <w:t xml:space="preserve">67</w:t>
                  </w:r>
                </w:p>
              </w:tc>
              <w:tc>
                <w:tcPr/>
                <w:p>
                  <w:pPr>
                    <w:pStyle w:val="Compact"/>
                    <w:jc w:val="right"/>
                    <w:jc w:val="center"/>
                  </w:pPr>
                  <w:r>
                    <w:t xml:space="preserve">57</w:t>
                  </w:r>
                </w:p>
              </w:tc>
            </w:tr>
            <w:tr>
              <w:tc>
                <w:tcPr/>
                <w:p>
                  <w:pPr>
                    <w:pStyle w:val="Compact"/>
                    <w:jc w:val="left"/>
                    <w:jc w:val="center"/>
                  </w:pPr>
                  <w:r>
                    <w:t xml:space="preserve">ANTPAL</w:t>
                  </w:r>
                </w:p>
              </w:tc>
              <w:tc>
                <w:tcPr/>
                <w:p>
                  <w:pPr>
                    <w:pStyle w:val="Compact"/>
                    <w:jc w:val="left"/>
                    <w:jc w:val="center"/>
                  </w:pPr>
                  <w:r>
                    <w:t xml:space="preserve">Antrozous pallidus</w:t>
                  </w:r>
                </w:p>
              </w:tc>
              <w:tc>
                <w:tcPr/>
                <w:p>
                  <w:pPr>
                    <w:pStyle w:val="Compact"/>
                    <w:jc w:val="left"/>
                    <w:jc w:val="center"/>
                  </w:pPr>
                  <w:r>
                    <w:t xml:space="preserve">Pallid bat</w:t>
                  </w:r>
                </w:p>
              </w:tc>
              <w:tc>
                <w:tcPr/>
                <w:p>
                  <w:pPr>
                    <w:pStyle w:val="Compact"/>
                    <w:jc w:val="right"/>
                    <w:jc w:val="center"/>
                  </w:pPr>
                  <w:r>
                    <w:t xml:space="preserve">30</w:t>
                  </w:r>
                </w:p>
              </w:tc>
              <w:tc>
                <w:tcPr/>
                <w:p>
                  <w:pPr>
                    <w:pStyle w:val="Compact"/>
                    <w:jc w:val="left"/>
                    <w:jc w:val="center"/>
                  </w:pPr>
                  <w:r>
                    <w:t xml:space="preserve">Mid</w:t>
                  </w:r>
                </w:p>
              </w:tc>
              <w:tc>
                <w:tcPr/>
                <w:p>
                  <w:pPr>
                    <w:pStyle w:val="Compact"/>
                    <w:jc w:val="right"/>
                    <w:jc w:val="center"/>
                  </w:pPr>
                  <w:r>
                    <w:t xml:space="preserve">526</w:t>
                  </w:r>
                </w:p>
              </w:tc>
              <w:tc>
                <w:tcPr/>
                <w:p>
                  <w:pPr>
                    <w:pStyle w:val="Compact"/>
                    <w:jc w:val="right"/>
                    <w:jc w:val="center"/>
                  </w:pPr>
                  <w:r>
                    <w:t xml:space="preserve">214</w:t>
                  </w:r>
                </w:p>
              </w:tc>
            </w:tr>
            <w:tr>
              <w:tc>
                <w:tcPr/>
                <w:p>
                  <w:pPr>
                    <w:pStyle w:val="Compact"/>
                    <w:jc w:val="left"/>
                    <w:jc w:val="center"/>
                  </w:pPr>
                  <w:r>
                    <w:t xml:space="preserve">MYOTHY</w:t>
                  </w:r>
                </w:p>
              </w:tc>
              <w:tc>
                <w:tcPr/>
                <w:p>
                  <w:pPr>
                    <w:pStyle w:val="Compact"/>
                    <w:jc w:val="left"/>
                    <w:jc w:val="center"/>
                  </w:pPr>
                  <w:r>
                    <w:t xml:space="preserve">Myotis thysanodes</w:t>
                  </w:r>
                </w:p>
              </w:tc>
              <w:tc>
                <w:tcPr/>
                <w:p>
                  <w:pPr>
                    <w:pStyle w:val="Compact"/>
                    <w:jc w:val="left"/>
                    <w:jc w:val="center"/>
                  </w:pPr>
                  <w:r>
                    <w:t xml:space="preserve">Fringed myotis</w:t>
                  </w:r>
                </w:p>
              </w:tc>
              <w:tc>
                <w:tcPr/>
                <w:p>
                  <w:pPr>
                    <w:pStyle w:val="Compact"/>
                    <w:jc w:val="right"/>
                    <w:jc w:val="center"/>
                  </w:pPr>
                  <w:r>
                    <w:t xml:space="preserve">32</w:t>
                  </w:r>
                </w:p>
              </w:tc>
              <w:tc>
                <w:tcPr/>
                <w:p>
                  <w:pPr>
                    <w:pStyle w:val="Compact"/>
                    <w:jc w:val="left"/>
                    <w:jc w:val="center"/>
                  </w:pPr>
                  <w:r>
                    <w:t xml:space="preserve">Mid</w:t>
                  </w:r>
                </w:p>
              </w:tc>
              <w:tc>
                <w:tcPr/>
                <w:p>
                  <w:pPr>
                    <w:pStyle w:val="Compact"/>
                    <w:jc w:val="right"/>
                    <w:jc w:val="center"/>
                  </w:pPr>
                  <w:r>
                    <w:t xml:space="preserve">69</w:t>
                  </w:r>
                </w:p>
              </w:tc>
              <w:tc>
                <w:tcPr/>
                <w:p>
                  <w:pPr>
                    <w:pStyle w:val="Compact"/>
                    <w:jc w:val="right"/>
                    <w:jc w:val="center"/>
                  </w:pPr>
                  <w:r>
                    <w:t xml:space="preserve">59</w:t>
                  </w:r>
                </w:p>
              </w:tc>
            </w:tr>
            <w:tr>
              <w:tc>
                <w:tcPr/>
                <w:p>
                  <w:pPr>
                    <w:pStyle w:val="Compact"/>
                    <w:jc w:val="left"/>
                    <w:jc w:val="center"/>
                  </w:pPr>
                  <w:r>
                    <w:t xml:space="preserve">MYOEVO</w:t>
                  </w:r>
                </w:p>
              </w:tc>
              <w:tc>
                <w:tcPr/>
                <w:p>
                  <w:pPr>
                    <w:pStyle w:val="Compact"/>
                    <w:jc w:val="left"/>
                    <w:jc w:val="center"/>
                  </w:pPr>
                  <w:r>
                    <w:t xml:space="preserve">Myotis evotis</w:t>
                  </w:r>
                </w:p>
              </w:tc>
              <w:tc>
                <w:tcPr/>
                <w:p>
                  <w:pPr>
                    <w:pStyle w:val="Compact"/>
                    <w:jc w:val="left"/>
                    <w:jc w:val="center"/>
                  </w:pPr>
                  <w:r>
                    <w:t xml:space="preserve">Long-eared myotis</w:t>
                  </w:r>
                </w:p>
              </w:tc>
              <w:tc>
                <w:tcPr/>
                <w:p>
                  <w:pPr>
                    <w:pStyle w:val="Compact"/>
                    <w:jc w:val="right"/>
                    <w:jc w:val="center"/>
                  </w:pPr>
                  <w:r>
                    <w:t xml:space="preserve">35</w:t>
                  </w:r>
                </w:p>
              </w:tc>
              <w:tc>
                <w:tcPr/>
                <w:p>
                  <w:pPr>
                    <w:pStyle w:val="Compact"/>
                    <w:jc w:val="left"/>
                    <w:jc w:val="center"/>
                  </w:pPr>
                  <w:r>
                    <w:t xml:space="preserve">Mid</w:t>
                  </w:r>
                </w:p>
              </w:tc>
              <w:tc>
                <w:tcPr/>
                <w:p>
                  <w:pPr>
                    <w:pStyle w:val="Compact"/>
                    <w:jc w:val="right"/>
                    <w:jc w:val="center"/>
                  </w:pPr>
                  <w:r>
                    <w:t xml:space="preserve">220</w:t>
                  </w:r>
                </w:p>
              </w:tc>
              <w:tc>
                <w:tcPr/>
                <w:p>
                  <w:pPr>
                    <w:pStyle w:val="Compact"/>
                    <w:jc w:val="right"/>
                    <w:jc w:val="center"/>
                  </w:pPr>
                  <w:r>
                    <w:t xml:space="preserve">171</w:t>
                  </w:r>
                </w:p>
              </w:tc>
            </w:tr>
            <w:tr>
              <w:tc>
                <w:tcPr/>
                <w:p>
                  <w:pPr>
                    <w:pStyle w:val="Compact"/>
                    <w:jc w:val="left"/>
                    <w:jc w:val="center"/>
                  </w:pPr>
                  <w:r>
                    <w:t xml:space="preserve">MYOVOL</w:t>
                  </w:r>
                </w:p>
              </w:tc>
              <w:tc>
                <w:tcPr/>
                <w:p>
                  <w:pPr>
                    <w:pStyle w:val="Compact"/>
                    <w:jc w:val="left"/>
                    <w:jc w:val="center"/>
                  </w:pPr>
                  <w:r>
                    <w:t xml:space="preserve">Myotis volans</w:t>
                  </w:r>
                </w:p>
              </w:tc>
              <w:tc>
                <w:tcPr/>
                <w:p>
                  <w:pPr>
                    <w:pStyle w:val="Compact"/>
                    <w:jc w:val="left"/>
                    <w:jc w:val="center"/>
                  </w:pPr>
                  <w:r>
                    <w:t xml:space="preserve">Long-legged myotis</w:t>
                  </w:r>
                </w:p>
              </w:tc>
              <w:tc>
                <w:tcPr/>
                <w:p>
                  <w:pPr>
                    <w:pStyle w:val="Compact"/>
                    <w:jc w:val="right"/>
                    <w:jc w:val="center"/>
                  </w:pPr>
                  <w:r>
                    <w:t xml:space="preserve">40</w:t>
                  </w:r>
                </w:p>
              </w:tc>
              <w:tc>
                <w:tcPr/>
                <w:p>
                  <w:pPr>
                    <w:pStyle w:val="Compact"/>
                    <w:jc w:val="left"/>
                    <w:jc w:val="center"/>
                  </w:pPr>
                  <w:r>
                    <w:t xml:space="preserve">High</w:t>
                  </w:r>
                </w:p>
              </w:tc>
              <w:tc>
                <w:tcPr/>
                <w:p>
                  <w:pPr>
                    <w:pStyle w:val="Compact"/>
                    <w:jc w:val="right"/>
                    <w:jc w:val="center"/>
                  </w:pPr>
                  <w:r>
                    <w:t xml:space="preserve">1128</w:t>
                  </w:r>
                </w:p>
              </w:tc>
              <w:tc>
                <w:tcPr/>
                <w:p>
                  <w:pPr>
                    <w:pStyle w:val="Compact"/>
                    <w:jc w:val="right"/>
                    <w:jc w:val="center"/>
                  </w:pPr>
                  <w:r>
                    <w:t xml:space="preserve">330</w:t>
                  </w:r>
                </w:p>
              </w:tc>
            </w:tr>
            <w:tr>
              <w:tc>
                <w:tcPr/>
                <w:p>
                  <w:pPr>
                    <w:pStyle w:val="Compact"/>
                    <w:jc w:val="left"/>
                    <w:jc w:val="center"/>
                  </w:pPr>
                  <w:r>
                    <w:t xml:space="preserve">MYOLUC</w:t>
                  </w:r>
                </w:p>
              </w:tc>
              <w:tc>
                <w:tcPr/>
                <w:p>
                  <w:pPr>
                    <w:pStyle w:val="Compact"/>
                    <w:jc w:val="left"/>
                    <w:jc w:val="center"/>
                  </w:pPr>
                  <w:r>
                    <w:t xml:space="preserve">Myotis lucifugus</w:t>
                  </w:r>
                </w:p>
              </w:tc>
              <w:tc>
                <w:tcPr/>
                <w:p>
                  <w:pPr>
                    <w:pStyle w:val="Compact"/>
                    <w:jc w:val="left"/>
                    <w:jc w:val="center"/>
                  </w:pPr>
                  <w:r>
                    <w:t xml:space="preserve">Little brown myotis</w:t>
                  </w:r>
                </w:p>
              </w:tc>
              <w:tc>
                <w:tcPr/>
                <w:p>
                  <w:pPr>
                    <w:pStyle w:val="Compact"/>
                    <w:jc w:val="right"/>
                    <w:jc w:val="center"/>
                  </w:pPr>
                  <w:r>
                    <w:t xml:space="preserve">42</w:t>
                  </w:r>
                </w:p>
              </w:tc>
              <w:tc>
                <w:tcPr/>
                <w:p>
                  <w:pPr>
                    <w:pStyle w:val="Compact"/>
                    <w:jc w:val="left"/>
                    <w:jc w:val="center"/>
                  </w:pPr>
                  <w:r>
                    <w:t xml:space="preserve">High</w:t>
                  </w:r>
                </w:p>
              </w:tc>
              <w:tc>
                <w:tcPr/>
                <w:p>
                  <w:pPr>
                    <w:pStyle w:val="Compact"/>
                    <w:jc w:val="right"/>
                    <w:jc w:val="center"/>
                  </w:pPr>
                  <w:r>
                    <w:t xml:space="preserve">19013</w:t>
                  </w:r>
                </w:p>
              </w:tc>
              <w:tc>
                <w:tcPr/>
                <w:p>
                  <w:pPr>
                    <w:pStyle w:val="Compact"/>
                    <w:jc w:val="right"/>
                    <w:jc w:val="center"/>
                  </w:pPr>
                  <w:r>
                    <w:t xml:space="preserve">838</w:t>
                  </w:r>
                </w:p>
              </w:tc>
            </w:tr>
            <w:tr>
              <w:tc>
                <w:tcPr/>
                <w:p>
                  <w:pPr>
                    <w:pStyle w:val="Compact"/>
                    <w:jc w:val="left"/>
                    <w:jc w:val="center"/>
                  </w:pPr>
                  <w:r>
                    <w:t xml:space="preserve">LASBLO</w:t>
                  </w:r>
                </w:p>
              </w:tc>
              <w:tc>
                <w:tcPr/>
                <w:p>
                  <w:pPr>
                    <w:pStyle w:val="Compact"/>
                    <w:jc w:val="left"/>
                    <w:jc w:val="center"/>
                  </w:pPr>
                  <w:r>
                    <w:t xml:space="preserve">Lasiurus blossevillii</w:t>
                  </w:r>
                </w:p>
              </w:tc>
              <w:tc>
                <w:tcPr/>
                <w:p>
                  <w:pPr>
                    <w:pStyle w:val="Compact"/>
                    <w:jc w:val="left"/>
                    <w:jc w:val="center"/>
                  </w:pPr>
                  <w:r>
                    <w:t xml:space="preserve">Western red bat</w:t>
                  </w:r>
                </w:p>
              </w:tc>
              <w:tc>
                <w:tcPr/>
                <w:p>
                  <w:pPr>
                    <w:pStyle w:val="Compact"/>
                    <w:jc w:val="right"/>
                    <w:jc w:val="center"/>
                  </w:pPr>
                  <w:r>
                    <w:t xml:space="preserve">42</w:t>
                  </w:r>
                </w:p>
              </w:tc>
              <w:tc>
                <w:tcPr/>
                <w:p>
                  <w:pPr>
                    <w:pStyle w:val="Compact"/>
                    <w:jc w:val="left"/>
                    <w:jc w:val="center"/>
                  </w:pPr>
                  <w:r>
                    <w:t xml:space="preserve">High</w:t>
                  </w:r>
                </w:p>
              </w:tc>
              <w:tc>
                <w:tcPr/>
                <w:p>
                  <w:pPr>
                    <w:pStyle w:val="Compact"/>
                    <w:jc w:val="right"/>
                    <w:jc w:val="center"/>
                  </w:pPr>
                  <w:r>
                    <w:t xml:space="preserve">1519</w:t>
                  </w:r>
                </w:p>
              </w:tc>
              <w:tc>
                <w:tcPr/>
                <w:p>
                  <w:pPr>
                    <w:pStyle w:val="Compact"/>
                    <w:jc w:val="right"/>
                    <w:jc w:val="center"/>
                  </w:pPr>
                  <w:r>
                    <w:t xml:space="preserve">484</w:t>
                  </w:r>
                </w:p>
              </w:tc>
            </w:tr>
            <w:tr>
              <w:tc>
                <w:tcPr/>
                <w:p>
                  <w:pPr>
                    <w:pStyle w:val="Compact"/>
                    <w:jc w:val="left"/>
                    <w:jc w:val="center"/>
                  </w:pPr>
                  <w:r>
                    <w:t xml:space="preserve">PARHES</w:t>
                  </w:r>
                </w:p>
              </w:tc>
              <w:tc>
                <w:tcPr/>
                <w:p>
                  <w:pPr>
                    <w:pStyle w:val="Compact"/>
                    <w:jc w:val="left"/>
                    <w:jc w:val="center"/>
                  </w:pPr>
                  <w:r>
                    <w:t xml:space="preserve">Parastrellus hesperus</w:t>
                  </w:r>
                </w:p>
              </w:tc>
              <w:tc>
                <w:tcPr/>
                <w:p>
                  <w:pPr>
                    <w:pStyle w:val="Compact"/>
                    <w:jc w:val="left"/>
                    <w:jc w:val="center"/>
                  </w:pPr>
                  <w:r>
                    <w:t xml:space="preserve">Canyon bat</w:t>
                  </w:r>
                </w:p>
              </w:tc>
              <w:tc>
                <w:tcPr/>
                <w:p>
                  <w:pPr>
                    <w:pStyle w:val="Compact"/>
                    <w:jc w:val="right"/>
                    <w:jc w:val="center"/>
                  </w:pPr>
                  <w:r>
                    <w:t xml:space="preserve">45</w:t>
                  </w:r>
                </w:p>
              </w:tc>
              <w:tc>
                <w:tcPr/>
                <w:p>
                  <w:pPr>
                    <w:pStyle w:val="Compact"/>
                    <w:jc w:val="left"/>
                    <w:jc w:val="center"/>
                  </w:pPr>
                  <w:r>
                    <w:t xml:space="preserve">High</w:t>
                  </w:r>
                </w:p>
              </w:tc>
              <w:tc>
                <w:tcPr/>
                <w:p>
                  <w:pPr>
                    <w:pStyle w:val="Compact"/>
                    <w:jc w:val="right"/>
                    <w:jc w:val="center"/>
                  </w:pPr>
                  <w:r>
                    <w:t xml:space="preserve">4413</w:t>
                  </w:r>
                </w:p>
              </w:tc>
              <w:tc>
                <w:tcPr/>
                <w:p>
                  <w:pPr>
                    <w:pStyle w:val="Compact"/>
                    <w:jc w:val="right"/>
                    <w:jc w:val="center"/>
                  </w:pPr>
                  <w:r>
                    <w:t xml:space="preserve">640</w:t>
                  </w:r>
                </w:p>
              </w:tc>
            </w:tr>
            <w:tr>
              <w:tc>
                <w:tcPr/>
                <w:p>
                  <w:pPr>
                    <w:pStyle w:val="Compact"/>
                    <w:jc w:val="left"/>
                    <w:jc w:val="center"/>
                  </w:pPr>
                  <w:r>
                    <w:t xml:space="preserve">MYOCIL</w:t>
                  </w:r>
                </w:p>
              </w:tc>
              <w:tc>
                <w:tcPr/>
                <w:p>
                  <w:pPr>
                    <w:pStyle w:val="Compact"/>
                    <w:jc w:val="left"/>
                    <w:jc w:val="center"/>
                  </w:pPr>
                  <w:r>
                    <w:t xml:space="preserve">Myotis ciliolabrum</w:t>
                  </w:r>
                </w:p>
              </w:tc>
              <w:tc>
                <w:tcPr/>
                <w:p>
                  <w:pPr>
                    <w:pStyle w:val="Compact"/>
                    <w:jc w:val="left"/>
                    <w:jc w:val="center"/>
                  </w:pPr>
                  <w:r>
                    <w:t xml:space="preserve">Western small-footed myotis</w:t>
                  </w:r>
                </w:p>
              </w:tc>
              <w:tc>
                <w:tcPr/>
                <w:p>
                  <w:pPr>
                    <w:pStyle w:val="Compact"/>
                    <w:jc w:val="right"/>
                    <w:jc w:val="center"/>
                  </w:pPr>
                  <w:r>
                    <w:t xml:space="preserve">45</w:t>
                  </w:r>
                </w:p>
              </w:tc>
              <w:tc>
                <w:tcPr/>
                <w:p>
                  <w:pPr>
                    <w:pStyle w:val="Compact"/>
                    <w:jc w:val="left"/>
                    <w:jc w:val="center"/>
                  </w:pPr>
                  <w:r>
                    <w:t xml:space="preserve">High</w:t>
                  </w:r>
                </w:p>
              </w:tc>
              <w:tc>
                <w:tcPr/>
                <w:p>
                  <w:pPr>
                    <w:pStyle w:val="Compact"/>
                    <w:jc w:val="right"/>
                    <w:jc w:val="center"/>
                  </w:pPr>
                  <w:r>
                    <w:t xml:space="preserve">3428</w:t>
                  </w:r>
                </w:p>
              </w:tc>
              <w:tc>
                <w:tcPr/>
                <w:p>
                  <w:pPr>
                    <w:pStyle w:val="Compact"/>
                    <w:jc w:val="right"/>
                    <w:jc w:val="center"/>
                  </w:pPr>
                  <w:r>
                    <w:t xml:space="preserve">382</w:t>
                  </w:r>
                </w:p>
              </w:tc>
            </w:tr>
            <w:tr>
              <w:tc>
                <w:tcPr/>
                <w:p>
                  <w:pPr>
                    <w:pStyle w:val="Compact"/>
                    <w:jc w:val="left"/>
                    <w:jc w:val="center"/>
                  </w:pPr>
                  <w:r>
                    <w:t xml:space="preserve">MYOYUM</w:t>
                  </w:r>
                </w:p>
              </w:tc>
              <w:tc>
                <w:tcPr/>
                <w:p>
                  <w:pPr>
                    <w:pStyle w:val="Compact"/>
                    <w:jc w:val="left"/>
                    <w:jc w:val="center"/>
                  </w:pPr>
                  <w:r>
                    <w:t xml:space="preserve">Myotis yumanensis</w:t>
                  </w:r>
                </w:p>
              </w:tc>
              <w:tc>
                <w:tcPr/>
                <w:p>
                  <w:pPr>
                    <w:pStyle w:val="Compact"/>
                    <w:jc w:val="left"/>
                    <w:jc w:val="center"/>
                  </w:pPr>
                  <w:r>
                    <w:t xml:space="preserve">Yuma myotis</w:t>
                  </w:r>
                </w:p>
              </w:tc>
              <w:tc>
                <w:tcPr/>
                <w:p>
                  <w:pPr>
                    <w:pStyle w:val="Compact"/>
                    <w:jc w:val="right"/>
                    <w:jc w:val="center"/>
                  </w:pPr>
                  <w:r>
                    <w:t xml:space="preserve">48</w:t>
                  </w:r>
                </w:p>
              </w:tc>
              <w:tc>
                <w:tcPr/>
                <w:p>
                  <w:pPr>
                    <w:pStyle w:val="Compact"/>
                    <w:jc w:val="left"/>
                    <w:jc w:val="center"/>
                  </w:pPr>
                  <w:r>
                    <w:t xml:space="preserve">High</w:t>
                  </w:r>
                </w:p>
              </w:tc>
              <w:tc>
                <w:tcPr/>
                <w:p>
                  <w:pPr>
                    <w:pStyle w:val="Compact"/>
                    <w:jc w:val="right"/>
                    <w:jc w:val="center"/>
                  </w:pPr>
                  <w:r>
                    <w:t xml:space="preserve">35004</w:t>
                  </w:r>
                </w:p>
              </w:tc>
              <w:tc>
                <w:tcPr/>
                <w:p>
                  <w:pPr>
                    <w:pStyle w:val="Compact"/>
                    <w:jc w:val="right"/>
                    <w:jc w:val="center"/>
                  </w:pPr>
                  <w:r>
                    <w:t xml:space="preserve">859</w:t>
                  </w:r>
                </w:p>
              </w:tc>
            </w:tr>
            <w:tr>
              <w:tc>
                <w:tcPr/>
                <w:p>
                  <w:pPr>
                    <w:pStyle w:val="Compact"/>
                    <w:jc w:val="left"/>
                    <w:jc w:val="center"/>
                  </w:pPr>
                  <w:r>
                    <w:t xml:space="preserve">MYOCAL</w:t>
                  </w:r>
                </w:p>
              </w:tc>
              <w:tc>
                <w:tcPr/>
                <w:p>
                  <w:pPr>
                    <w:pStyle w:val="Compact"/>
                    <w:jc w:val="left"/>
                    <w:jc w:val="center"/>
                  </w:pPr>
                  <w:r>
                    <w:t xml:space="preserve">Myotis californicus</w:t>
                  </w:r>
                </w:p>
              </w:tc>
              <w:tc>
                <w:tcPr/>
                <w:p>
                  <w:pPr>
                    <w:pStyle w:val="Compact"/>
                    <w:jc w:val="left"/>
                    <w:jc w:val="center"/>
                  </w:pPr>
                  <w:r>
                    <w:t xml:space="preserve">California myotis</w:t>
                  </w:r>
                </w:p>
              </w:tc>
              <w:tc>
                <w:tcPr/>
                <w:p>
                  <w:pPr>
                    <w:pStyle w:val="Compact"/>
                    <w:jc w:val="right"/>
                    <w:jc w:val="center"/>
                  </w:pPr>
                  <w:r>
                    <w:t xml:space="preserve">50</w:t>
                  </w:r>
                </w:p>
              </w:tc>
              <w:tc>
                <w:tcPr/>
                <w:p>
                  <w:pPr>
                    <w:pStyle w:val="Compact"/>
                    <w:jc w:val="left"/>
                    <w:jc w:val="center"/>
                  </w:pPr>
                  <w:r>
                    <w:t xml:space="preserve">High</w:t>
                  </w:r>
                </w:p>
              </w:tc>
              <w:tc>
                <w:tcPr/>
                <w:p>
                  <w:pPr>
                    <w:pStyle w:val="Compact"/>
                    <w:jc w:val="right"/>
                    <w:jc w:val="center"/>
                  </w:pPr>
                  <w:r>
                    <w:t xml:space="preserve">5943</w:t>
                  </w:r>
                </w:p>
              </w:tc>
              <w:tc>
                <w:tcPr/>
                <w:p>
                  <w:pPr>
                    <w:pStyle w:val="Compact"/>
                    <w:jc w:val="right"/>
                    <w:jc w:val="center"/>
                  </w:pPr>
                  <w:r>
                    <w:t xml:space="preserve">769</w:t>
                  </w:r>
                </w:p>
              </w:tc>
            </w:tr>
          </w:tbl>
          <w:bookmarkEnd w:id="16"/>
          <w:p/>
        </w:tc>
      </w:tr>
    </w:tbl>
    <w:bookmarkEnd w:id="17"/>
    <w:bookmarkStart w:id="19" w:name="Xa9ebd402fba8153fb09ad730b7f40a671fef0fe"/>
    <w:p>
      <w:pPr>
        <w:pStyle w:val="Heading2"/>
      </w:pPr>
      <w:r>
        <w:t xml:space="preserve">Table S5. Retained sampling effort by site</w:t>
      </w:r>
    </w:p>
    <w:tbl>
      <w:tblPr>
        <w:tblStyle w:val="Table"/>
        <w:tblW w:type="pct" w:w="5000"/>
        <w:tblLayout w:type="fixed"/>
        <w:tblLook w:firstRow="0" w:lastRow="0" w:firstColumn="0" w:lastColumn="0" w:noHBand="0" w:noVBand="0" w:val="0000"/>
      </w:tblPr>
      <w:tblGrid>
        <w:gridCol w:w="7920"/>
      </w:tblGrid>
      <w:tr>
        <w:tc>
          <w:tcPr/>
          <w:bookmarkStart w:id="18" w:name="tbl-s5-detector-effort"/>
          <w:p>
            <w:pPr>
              <w:jc w:val="center"/>
            </w:pPr>
            <w:pPr>
              <w:jc w:val="left"/>
              <w:spacing w:before="200"/>
              <w:pStyle w:val="ImageCaption"/>
            </w:pPr>
            <w:r>
              <w:t xml:space="preserve">Table 5: Retained acoustic sampling effort and activity summaries by site after nights without usable acoustic recordings were excluded. Zero-activity nights are sampled nights with usable recordings but no accepted bat detections.</w:t>
            </w:r>
          </w:p>
          <w:tbl>
            <w:tblPr>
              <w:tblStyle w:val="Table"/>
              <w:tblW w:type="pct" w:w="5000"/>
              <w:tblLayout w:type="fixed"/>
              <w:tblLook w:firstRow="1" w:lastRow="0" w:firstColumn="0" w:lastColumn="0" w:noHBand="0" w:noVBand="0" w:val="0020"/>
            </w:tblPr>
            <w:tblGrid>
              <w:gridCol w:w="286"/>
              <w:gridCol w:w="1001"/>
              <w:gridCol w:w="1001"/>
              <w:gridCol w:w="1192"/>
              <w:gridCol w:w="1192"/>
              <w:gridCol w:w="1288"/>
              <w:gridCol w:w="1001"/>
              <w:gridCol w:w="954"/>
            </w:tblGrid>
            <w:tr>
              <w:trPr>
                <w:tblHeader w:val="on"/>
              </w:trPr>
              <w:tc>
                <w:tcPr/>
                <w:p>
                  <w:pPr>
                    <w:pStyle w:val="Compact"/>
                    <w:jc w:val="left"/>
                    <w:jc w:val="center"/>
                  </w:pPr>
                  <w:r>
                    <w:t xml:space="preserve">Site</w:t>
                  </w:r>
                </w:p>
              </w:tc>
              <w:tc>
                <w:tcPr/>
                <w:p>
                  <w:pPr>
                    <w:pStyle w:val="Compact"/>
                    <w:jc w:val="right"/>
                    <w:jc w:val="center"/>
                  </w:pPr>
                  <w:r>
                    <w:t xml:space="preserve">Retained site-nights</w:t>
                  </w:r>
                </w:p>
              </w:tc>
              <w:tc>
                <w:tcPr/>
                <w:p>
                  <w:pPr>
                    <w:pStyle w:val="Compact"/>
                    <w:jc w:val="right"/>
                    <w:jc w:val="center"/>
                  </w:pPr>
                  <w:r>
                    <w:t xml:space="preserve">Zero-activity nights</w:t>
                  </w:r>
                </w:p>
              </w:tc>
              <w:tc>
                <w:tcPr/>
                <w:p>
                  <w:pPr>
                    <w:pStyle w:val="Compact"/>
                    <w:jc w:val="right"/>
                    <w:jc w:val="center"/>
                  </w:pPr>
                  <w:r>
                    <w:t xml:space="preserve">Total activity intervals</w:t>
                  </w:r>
                </w:p>
              </w:tc>
              <w:tc>
                <w:tcPr/>
                <w:p>
                  <w:pPr>
                    <w:pStyle w:val="Compact"/>
                    <w:jc w:val="right"/>
                    <w:jc w:val="center"/>
                  </w:pPr>
                  <w:r>
                    <w:t xml:space="preserve">Mean intervals per night</w:t>
                  </w:r>
                </w:p>
              </w:tc>
              <w:tc>
                <w:tcPr/>
                <w:p>
                  <w:pPr>
                    <w:pStyle w:val="Compact"/>
                    <w:jc w:val="right"/>
                    <w:jc w:val="center"/>
                  </w:pPr>
                  <w:r>
                    <w:t xml:space="preserve">Median intervals per night</w:t>
                  </w:r>
                </w:p>
              </w:tc>
              <w:tc>
                <w:tcPr/>
                <w:p>
                  <w:pPr>
                    <w:pStyle w:val="Compact"/>
                    <w:jc w:val="left"/>
                    <w:jc w:val="center"/>
                  </w:pPr>
                  <w:r>
                    <w:t xml:space="preserve">First retained night</w:t>
                  </w:r>
                </w:p>
              </w:tc>
              <w:tc>
                <w:tcPr/>
                <w:p>
                  <w:pPr>
                    <w:pStyle w:val="Compact"/>
                    <w:jc w:val="left"/>
                    <w:jc w:val="center"/>
                  </w:pPr>
                  <w:r>
                    <w:t xml:space="preserve">Last retained night</w:t>
                  </w:r>
                </w:p>
              </w:tc>
            </w:tr>
            <w:tr>
              <w:tc>
                <w:tcPr/>
                <w:p>
                  <w:pPr>
                    <w:pStyle w:val="Compact"/>
                    <w:jc w:val="left"/>
                    <w:jc w:val="center"/>
                  </w:pPr>
                  <w:r>
                    <w:t xml:space="preserve">BUC3</w:t>
                  </w:r>
                </w:p>
              </w:tc>
              <w:tc>
                <w:tcPr/>
                <w:p>
                  <w:pPr>
                    <w:pStyle w:val="Compact"/>
                    <w:jc w:val="right"/>
                    <w:jc w:val="center"/>
                  </w:pPr>
                  <w:r>
                    <w:t xml:space="preserve">172</w:t>
                  </w:r>
                </w:p>
              </w:tc>
              <w:tc>
                <w:tcPr/>
                <w:p>
                  <w:pPr>
                    <w:pStyle w:val="Compact"/>
                    <w:jc w:val="right"/>
                    <w:jc w:val="center"/>
                  </w:pPr>
                  <w:r>
                    <w:t xml:space="preserve">1</w:t>
                  </w:r>
                </w:p>
              </w:tc>
              <w:tc>
                <w:tcPr/>
                <w:p>
                  <w:pPr>
                    <w:pStyle w:val="Compact"/>
                    <w:jc w:val="right"/>
                    <w:jc w:val="center"/>
                  </w:pPr>
                  <w:r>
                    <w:t xml:space="preserve">35057</w:t>
                  </w:r>
                </w:p>
              </w:tc>
              <w:tc>
                <w:tcPr/>
                <w:p>
                  <w:pPr>
                    <w:pStyle w:val="Compact"/>
                    <w:jc w:val="right"/>
                    <w:jc w:val="center"/>
                  </w:pPr>
                  <w:r>
                    <w:t xml:space="preserve">203.8</w:t>
                  </w:r>
                </w:p>
              </w:tc>
              <w:tc>
                <w:tcPr/>
                <w:p>
                  <w:pPr>
                    <w:pStyle w:val="Compact"/>
                    <w:jc w:val="right"/>
                    <w:jc w:val="center"/>
                  </w:pPr>
                  <w:r>
                    <w:t xml:space="preserve">210.0</w:t>
                  </w:r>
                </w:p>
              </w:tc>
              <w:tc>
                <w:tcPr/>
                <w:p>
                  <w:pPr>
                    <w:pStyle w:val="Compact"/>
                    <w:jc w:val="left"/>
                    <w:jc w:val="center"/>
                  </w:pPr>
                  <w:r>
                    <w:t xml:space="preserve">2015-04-22</w:t>
                  </w:r>
                </w:p>
              </w:tc>
              <w:tc>
                <w:tcPr/>
                <w:p>
                  <w:pPr>
                    <w:pStyle w:val="Compact"/>
                    <w:jc w:val="left"/>
                    <w:jc w:val="center"/>
                  </w:pPr>
                  <w:r>
                    <w:t xml:space="preserve">2015-10-17</w:t>
                  </w:r>
                </w:p>
              </w:tc>
            </w:tr>
            <w:tr>
              <w:tc>
                <w:tcPr/>
                <w:p>
                  <w:pPr>
                    <w:pStyle w:val="Compact"/>
                    <w:jc w:val="left"/>
                    <w:jc w:val="center"/>
                  </w:pPr>
                  <w:r>
                    <w:t xml:space="preserve">BUL11</w:t>
                  </w:r>
                </w:p>
              </w:tc>
              <w:tc>
                <w:tcPr/>
                <w:p>
                  <w:pPr>
                    <w:pStyle w:val="Compact"/>
                    <w:jc w:val="right"/>
                    <w:jc w:val="center"/>
                  </w:pPr>
                  <w:r>
                    <w:t xml:space="preserve">174</w:t>
                  </w:r>
                </w:p>
              </w:tc>
              <w:tc>
                <w:tcPr/>
                <w:p>
                  <w:pPr>
                    <w:pStyle w:val="Compact"/>
                    <w:jc w:val="right"/>
                    <w:jc w:val="center"/>
                  </w:pPr>
                  <w:r>
                    <w:t xml:space="preserve">0</w:t>
                  </w:r>
                </w:p>
              </w:tc>
              <w:tc>
                <w:tcPr/>
                <w:p>
                  <w:pPr>
                    <w:pStyle w:val="Compact"/>
                    <w:jc w:val="right"/>
                    <w:jc w:val="center"/>
                  </w:pPr>
                  <w:r>
                    <w:t xml:space="preserve">40054</w:t>
                  </w:r>
                </w:p>
              </w:tc>
              <w:tc>
                <w:tcPr/>
                <w:p>
                  <w:pPr>
                    <w:pStyle w:val="Compact"/>
                    <w:jc w:val="right"/>
                    <w:jc w:val="center"/>
                  </w:pPr>
                  <w:r>
                    <w:t xml:space="preserve">230.2</w:t>
                  </w:r>
                </w:p>
              </w:tc>
              <w:tc>
                <w:tcPr/>
                <w:p>
                  <w:pPr>
                    <w:pStyle w:val="Compact"/>
                    <w:jc w:val="right"/>
                    <w:jc w:val="center"/>
                  </w:pPr>
                  <w:r>
                    <w:t xml:space="preserve">232.5</w:t>
                  </w:r>
                </w:p>
              </w:tc>
              <w:tc>
                <w:tcPr/>
                <w:p>
                  <w:pPr>
                    <w:pStyle w:val="Compact"/>
                    <w:jc w:val="left"/>
                    <w:jc w:val="center"/>
                  </w:pPr>
                  <w:r>
                    <w:t xml:space="preserve">2015-04-24</w:t>
                  </w:r>
                </w:p>
              </w:tc>
              <w:tc>
                <w:tcPr/>
                <w:p>
                  <w:pPr>
                    <w:pStyle w:val="Compact"/>
                    <w:jc w:val="left"/>
                    <w:jc w:val="center"/>
                  </w:pPr>
                  <w:r>
                    <w:t xml:space="preserve">2015-10-14</w:t>
                  </w:r>
                </w:p>
              </w:tc>
            </w:tr>
            <w:tr>
              <w:tc>
                <w:tcPr/>
                <w:p>
                  <w:pPr>
                    <w:pStyle w:val="Compact"/>
                    <w:jc w:val="left"/>
                    <w:jc w:val="center"/>
                  </w:pPr>
                  <w:r>
                    <w:t xml:space="preserve">BUL18</w:t>
                  </w:r>
                </w:p>
              </w:tc>
              <w:tc>
                <w:tcPr/>
                <w:p>
                  <w:pPr>
                    <w:pStyle w:val="Compact"/>
                    <w:jc w:val="right"/>
                    <w:jc w:val="center"/>
                  </w:pPr>
                  <w:r>
                    <w:t xml:space="preserve">47</w:t>
                  </w:r>
                </w:p>
              </w:tc>
              <w:tc>
                <w:tcPr/>
                <w:p>
                  <w:pPr>
                    <w:pStyle w:val="Compact"/>
                    <w:jc w:val="right"/>
                    <w:jc w:val="center"/>
                  </w:pPr>
                  <w:r>
                    <w:t xml:space="preserve">6</w:t>
                  </w:r>
                </w:p>
              </w:tc>
              <w:tc>
                <w:tcPr/>
                <w:p>
                  <w:pPr>
                    <w:pStyle w:val="Compact"/>
                    <w:jc w:val="right"/>
                    <w:jc w:val="center"/>
                  </w:pPr>
                  <w:r>
                    <w:t xml:space="preserve">620</w:t>
                  </w:r>
                </w:p>
              </w:tc>
              <w:tc>
                <w:tcPr/>
                <w:p>
                  <w:pPr>
                    <w:pStyle w:val="Compact"/>
                    <w:jc w:val="right"/>
                    <w:jc w:val="center"/>
                  </w:pPr>
                  <w:r>
                    <w:t xml:space="preserve">13.2</w:t>
                  </w:r>
                </w:p>
              </w:tc>
              <w:tc>
                <w:tcPr/>
                <w:p>
                  <w:pPr>
                    <w:pStyle w:val="Compact"/>
                    <w:jc w:val="right"/>
                    <w:jc w:val="center"/>
                  </w:pPr>
                  <w:r>
                    <w:t xml:space="preserve">8.0</w:t>
                  </w:r>
                </w:p>
              </w:tc>
              <w:tc>
                <w:tcPr/>
                <w:p>
                  <w:pPr>
                    <w:pStyle w:val="Compact"/>
                    <w:jc w:val="left"/>
                    <w:jc w:val="center"/>
                  </w:pPr>
                  <w:r>
                    <w:t xml:space="preserve">2015-04-25</w:t>
                  </w:r>
                </w:p>
              </w:tc>
              <w:tc>
                <w:tcPr/>
                <w:p>
                  <w:pPr>
                    <w:pStyle w:val="Compact"/>
                    <w:jc w:val="left"/>
                    <w:jc w:val="center"/>
                  </w:pPr>
                  <w:r>
                    <w:t xml:space="preserve">2015-07-31</w:t>
                  </w:r>
                </w:p>
              </w:tc>
            </w:tr>
            <w:tr>
              <w:tc>
                <w:tcPr/>
                <w:p>
                  <w:pPr>
                    <w:pStyle w:val="Compact"/>
                    <w:jc w:val="left"/>
                    <w:jc w:val="center"/>
                  </w:pPr>
                  <w:r>
                    <w:t xml:space="preserve">BUL4</w:t>
                  </w:r>
                </w:p>
              </w:tc>
              <w:tc>
                <w:tcPr/>
                <w:p>
                  <w:pPr>
                    <w:pStyle w:val="Compact"/>
                    <w:jc w:val="right"/>
                    <w:jc w:val="center"/>
                  </w:pPr>
                  <w:r>
                    <w:t xml:space="preserve">64</w:t>
                  </w:r>
                </w:p>
              </w:tc>
              <w:tc>
                <w:tcPr/>
                <w:p>
                  <w:pPr>
                    <w:pStyle w:val="Compact"/>
                    <w:jc w:val="right"/>
                    <w:jc w:val="center"/>
                  </w:pPr>
                  <w:r>
                    <w:t xml:space="preserve">17</w:t>
                  </w:r>
                </w:p>
              </w:tc>
              <w:tc>
                <w:tcPr/>
                <w:p>
                  <w:pPr>
                    <w:pStyle w:val="Compact"/>
                    <w:jc w:val="right"/>
                    <w:jc w:val="center"/>
                  </w:pPr>
                  <w:r>
                    <w:t xml:space="preserve">666</w:t>
                  </w:r>
                </w:p>
              </w:tc>
              <w:tc>
                <w:tcPr/>
                <w:p>
                  <w:pPr>
                    <w:pStyle w:val="Compact"/>
                    <w:jc w:val="right"/>
                    <w:jc w:val="center"/>
                  </w:pPr>
                  <w:r>
                    <w:t xml:space="preserve">10.4</w:t>
                  </w:r>
                </w:p>
              </w:tc>
              <w:tc>
                <w:tcPr/>
                <w:p>
                  <w:pPr>
                    <w:pStyle w:val="Compact"/>
                    <w:jc w:val="right"/>
                    <w:jc w:val="center"/>
                  </w:pPr>
                  <w:r>
                    <w:t xml:space="preserve">7.0</w:t>
                  </w:r>
                </w:p>
              </w:tc>
              <w:tc>
                <w:tcPr/>
                <w:p>
                  <w:pPr>
                    <w:pStyle w:val="Compact"/>
                    <w:jc w:val="left"/>
                    <w:jc w:val="center"/>
                  </w:pPr>
                  <w:r>
                    <w:t xml:space="preserve">2015-04-24</w:t>
                  </w:r>
                </w:p>
              </w:tc>
              <w:tc>
                <w:tcPr/>
                <w:p>
                  <w:pPr>
                    <w:pStyle w:val="Compact"/>
                    <w:jc w:val="left"/>
                    <w:jc w:val="center"/>
                  </w:pPr>
                  <w:r>
                    <w:t xml:space="preserve">2015-09-17</w:t>
                  </w:r>
                </w:p>
              </w:tc>
            </w:tr>
            <w:tr>
              <w:tc>
                <w:tcPr/>
                <w:p>
                  <w:pPr>
                    <w:pStyle w:val="Compact"/>
                    <w:jc w:val="left"/>
                    <w:jc w:val="center"/>
                  </w:pPr>
                  <w:r>
                    <w:t xml:space="preserve">GRP1</w:t>
                  </w:r>
                </w:p>
              </w:tc>
              <w:tc>
                <w:tcPr/>
                <w:p>
                  <w:pPr>
                    <w:pStyle w:val="Compact"/>
                    <w:jc w:val="right"/>
                    <w:jc w:val="center"/>
                  </w:pPr>
                  <w:r>
                    <w:t xml:space="preserve">174</w:t>
                  </w:r>
                </w:p>
              </w:tc>
              <w:tc>
                <w:tcPr/>
                <w:p>
                  <w:pPr>
                    <w:pStyle w:val="Compact"/>
                    <w:jc w:val="right"/>
                    <w:jc w:val="center"/>
                  </w:pPr>
                  <w:r>
                    <w:t xml:space="preserve">0</w:t>
                  </w:r>
                </w:p>
              </w:tc>
              <w:tc>
                <w:tcPr/>
                <w:p>
                  <w:pPr>
                    <w:pStyle w:val="Compact"/>
                    <w:jc w:val="right"/>
                    <w:jc w:val="center"/>
                  </w:pPr>
                  <w:r>
                    <w:t xml:space="preserve">6904</w:t>
                  </w:r>
                </w:p>
              </w:tc>
              <w:tc>
                <w:tcPr/>
                <w:p>
                  <w:pPr>
                    <w:pStyle w:val="Compact"/>
                    <w:jc w:val="right"/>
                    <w:jc w:val="center"/>
                  </w:pPr>
                  <w:r>
                    <w:t xml:space="preserve">39.7</w:t>
                  </w:r>
                </w:p>
              </w:tc>
              <w:tc>
                <w:tcPr/>
                <w:p>
                  <w:pPr>
                    <w:pStyle w:val="Compact"/>
                    <w:jc w:val="right"/>
                    <w:jc w:val="center"/>
                  </w:pPr>
                  <w:r>
                    <w:t xml:space="preserve">30.5</w:t>
                  </w:r>
                </w:p>
              </w:tc>
              <w:tc>
                <w:tcPr/>
                <w:p>
                  <w:pPr>
                    <w:pStyle w:val="Compact"/>
                    <w:jc w:val="left"/>
                    <w:jc w:val="center"/>
                  </w:pPr>
                  <w:r>
                    <w:t xml:space="preserve">2015-04-24</w:t>
                  </w:r>
                </w:p>
              </w:tc>
              <w:tc>
                <w:tcPr/>
                <w:p>
                  <w:pPr>
                    <w:pStyle w:val="Compact"/>
                    <w:jc w:val="left"/>
                    <w:jc w:val="center"/>
                  </w:pPr>
                  <w:r>
                    <w:t xml:space="preserve">2015-10-14</w:t>
                  </w:r>
                </w:p>
              </w:tc>
            </w:tr>
            <w:tr>
              <w:tc>
                <w:tcPr/>
                <w:p>
                  <w:pPr>
                    <w:pStyle w:val="Compact"/>
                    <w:jc w:val="left"/>
                    <w:jc w:val="center"/>
                  </w:pPr>
                  <w:r>
                    <w:t xml:space="preserve">GRP5</w:t>
                  </w:r>
                </w:p>
              </w:tc>
              <w:tc>
                <w:tcPr/>
                <w:p>
                  <w:pPr>
                    <w:pStyle w:val="Compact"/>
                    <w:jc w:val="right"/>
                    <w:jc w:val="center"/>
                  </w:pPr>
                  <w:r>
                    <w:t xml:space="preserve">168</w:t>
                  </w:r>
                </w:p>
              </w:tc>
              <w:tc>
                <w:tcPr/>
                <w:p>
                  <w:pPr>
                    <w:pStyle w:val="Compact"/>
                    <w:jc w:val="right"/>
                    <w:jc w:val="center"/>
                  </w:pPr>
                  <w:r>
                    <w:t xml:space="preserve">14</w:t>
                  </w:r>
                </w:p>
              </w:tc>
              <w:tc>
                <w:tcPr/>
                <w:p>
                  <w:pPr>
                    <w:pStyle w:val="Compact"/>
                    <w:jc w:val="right"/>
                    <w:jc w:val="center"/>
                  </w:pPr>
                  <w:r>
                    <w:t xml:space="preserve">2293</w:t>
                  </w:r>
                </w:p>
              </w:tc>
              <w:tc>
                <w:tcPr/>
                <w:p>
                  <w:pPr>
                    <w:pStyle w:val="Compact"/>
                    <w:jc w:val="right"/>
                    <w:jc w:val="center"/>
                  </w:pPr>
                  <w:r>
                    <w:t xml:space="preserve">13.6</w:t>
                  </w:r>
                </w:p>
              </w:tc>
              <w:tc>
                <w:tcPr/>
                <w:p>
                  <w:pPr>
                    <w:pStyle w:val="Compact"/>
                    <w:jc w:val="right"/>
                    <w:jc w:val="center"/>
                  </w:pPr>
                  <w:r>
                    <w:t xml:space="preserve">8.0</w:t>
                  </w:r>
                </w:p>
              </w:tc>
              <w:tc>
                <w:tcPr/>
                <w:p>
                  <w:pPr>
                    <w:pStyle w:val="Compact"/>
                    <w:jc w:val="left"/>
                    <w:jc w:val="center"/>
                  </w:pPr>
                  <w:r>
                    <w:t xml:space="preserve">2015-04-24</w:t>
                  </w:r>
                </w:p>
              </w:tc>
              <w:tc>
                <w:tcPr/>
                <w:p>
                  <w:pPr>
                    <w:pStyle w:val="Compact"/>
                    <w:jc w:val="left"/>
                    <w:jc w:val="center"/>
                  </w:pPr>
                  <w:r>
                    <w:t xml:space="preserve">2015-10-14</w:t>
                  </w:r>
                </w:p>
              </w:tc>
            </w:tr>
            <w:tr>
              <w:tc>
                <w:tcPr/>
                <w:p>
                  <w:pPr>
                    <w:pStyle w:val="Compact"/>
                    <w:jc w:val="left"/>
                    <w:jc w:val="center"/>
                  </w:pPr>
                  <w:r>
                    <w:t xml:space="preserve">LBL5</w:t>
                  </w:r>
                </w:p>
              </w:tc>
              <w:tc>
                <w:tcPr/>
                <w:p>
                  <w:pPr>
                    <w:pStyle w:val="Compact"/>
                    <w:jc w:val="right"/>
                    <w:jc w:val="center"/>
                  </w:pPr>
                  <w:r>
                    <w:t xml:space="preserve">174</w:t>
                  </w:r>
                </w:p>
              </w:tc>
              <w:tc>
                <w:tcPr/>
                <w:p>
                  <w:pPr>
                    <w:pStyle w:val="Compact"/>
                    <w:jc w:val="right"/>
                    <w:jc w:val="center"/>
                  </w:pPr>
                  <w:r>
                    <w:t xml:space="preserve">0</w:t>
                  </w:r>
                </w:p>
              </w:tc>
              <w:tc>
                <w:tcPr/>
                <w:p>
                  <w:pPr>
                    <w:pStyle w:val="Compact"/>
                    <w:jc w:val="right"/>
                    <w:jc w:val="center"/>
                  </w:pPr>
                  <w:r>
                    <w:t xml:space="preserve">14871</w:t>
                  </w:r>
                </w:p>
              </w:tc>
              <w:tc>
                <w:tcPr/>
                <w:p>
                  <w:pPr>
                    <w:pStyle w:val="Compact"/>
                    <w:jc w:val="right"/>
                    <w:jc w:val="center"/>
                  </w:pPr>
                  <w:r>
                    <w:t xml:space="preserve">85.5</w:t>
                  </w:r>
                </w:p>
              </w:tc>
              <w:tc>
                <w:tcPr/>
                <w:p>
                  <w:pPr>
                    <w:pStyle w:val="Compact"/>
                    <w:jc w:val="right"/>
                    <w:jc w:val="center"/>
                  </w:pPr>
                  <w:r>
                    <w:t xml:space="preserve">82.0</w:t>
                  </w:r>
                </w:p>
              </w:tc>
              <w:tc>
                <w:tcPr/>
                <w:p>
                  <w:pPr>
                    <w:pStyle w:val="Compact"/>
                    <w:jc w:val="left"/>
                    <w:jc w:val="center"/>
                  </w:pPr>
                  <w:r>
                    <w:t xml:space="preserve">2015-04-24</w:t>
                  </w:r>
                </w:p>
              </w:tc>
              <w:tc>
                <w:tcPr/>
                <w:p>
                  <w:pPr>
                    <w:pStyle w:val="Compact"/>
                    <w:jc w:val="left"/>
                    <w:jc w:val="center"/>
                  </w:pPr>
                  <w:r>
                    <w:t xml:space="preserve">2015-10-14</w:t>
                  </w:r>
                </w:p>
              </w:tc>
            </w:tr>
            <w:tr>
              <w:tc>
                <w:tcPr/>
                <w:p>
                  <w:pPr>
                    <w:pStyle w:val="Compact"/>
                    <w:jc w:val="left"/>
                    <w:jc w:val="center"/>
                  </w:pPr>
                  <w:r>
                    <w:t xml:space="preserve">THL1</w:t>
                  </w:r>
                </w:p>
              </w:tc>
              <w:tc>
                <w:tcPr/>
                <w:p>
                  <w:pPr>
                    <w:pStyle w:val="Compact"/>
                    <w:jc w:val="right"/>
                    <w:jc w:val="center"/>
                  </w:pPr>
                  <w:r>
                    <w:t xml:space="preserve">83</w:t>
                  </w:r>
                </w:p>
              </w:tc>
              <w:tc>
                <w:tcPr/>
                <w:p>
                  <w:pPr>
                    <w:pStyle w:val="Compact"/>
                    <w:jc w:val="right"/>
                    <w:jc w:val="center"/>
                  </w:pPr>
                  <w:r>
                    <w:t xml:space="preserve">2</w:t>
                  </w:r>
                </w:p>
              </w:tc>
              <w:tc>
                <w:tcPr/>
                <w:p>
                  <w:pPr>
                    <w:pStyle w:val="Compact"/>
                    <w:jc w:val="right"/>
                    <w:jc w:val="center"/>
                  </w:pPr>
                  <w:r>
                    <w:t xml:space="preserve">3216</w:t>
                  </w:r>
                </w:p>
              </w:tc>
              <w:tc>
                <w:tcPr/>
                <w:p>
                  <w:pPr>
                    <w:pStyle w:val="Compact"/>
                    <w:jc w:val="right"/>
                    <w:jc w:val="center"/>
                  </w:pPr>
                  <w:r>
                    <w:t xml:space="preserve">38.7</w:t>
                  </w:r>
                </w:p>
              </w:tc>
              <w:tc>
                <w:tcPr/>
                <w:p>
                  <w:pPr>
                    <w:pStyle w:val="Compact"/>
                    <w:jc w:val="right"/>
                    <w:jc w:val="center"/>
                  </w:pPr>
                  <w:r>
                    <w:t xml:space="preserve">32.0</w:t>
                  </w:r>
                </w:p>
              </w:tc>
              <w:tc>
                <w:tcPr/>
                <w:p>
                  <w:pPr>
                    <w:pStyle w:val="Compact"/>
                    <w:jc w:val="left"/>
                    <w:jc w:val="center"/>
                  </w:pPr>
                  <w:r>
                    <w:t xml:space="preserve">2015-07-24</w:t>
                  </w:r>
                </w:p>
              </w:tc>
              <w:tc>
                <w:tcPr/>
                <w:p>
                  <w:pPr>
                    <w:pStyle w:val="Compact"/>
                    <w:jc w:val="left"/>
                    <w:jc w:val="center"/>
                  </w:pPr>
                  <w:r>
                    <w:t xml:space="preserve">2015-10-14</w:t>
                  </w:r>
                </w:p>
              </w:tc>
            </w:tr>
          </w:tbl>
          <w:bookmarkEnd w:id="18"/>
          <w:p/>
        </w:tc>
      </w:tr>
    </w:tbl>
    <w:bookmarkEnd w:id="19"/>
    <w:bookmarkStart w:id="21" w:name="Xfa796ae688acff8bb805193225fdfc08142f618"/>
    <w:p>
      <w:pPr>
        <w:pStyle w:val="Heading2"/>
      </w:pPr>
      <w:r>
        <w:t xml:space="preserve">Table S6. Software and computational environment</w:t>
      </w:r>
    </w:p>
    <w:tbl>
      <w:tblPr>
        <w:tblStyle w:val="Table"/>
        <w:tblW w:type="pct" w:w="5000"/>
        <w:tblLayout w:type="fixed"/>
        <w:tblLook w:firstRow="0" w:lastRow="0" w:firstColumn="0" w:lastColumn="0" w:noHBand="0" w:noVBand="0" w:val="0000"/>
      </w:tblPr>
      <w:tblGrid>
        <w:gridCol w:w="7920"/>
      </w:tblGrid>
      <w:tr>
        <w:tc>
          <w:tcPr/>
          <w:bookmarkStart w:id="20" w:name="tbl-s6-software"/>
          <w:p>
            <w:pPr>
              <w:jc w:val="center"/>
            </w:pPr>
            <w:pPr>
              <w:jc w:val="left"/>
              <w:spacing w:before="200"/>
              <w:pStyle w:val="ImageCaption"/>
            </w:pPr>
            <w:r>
              <w:t xml:space="preserve">Table 6: Software and package versions used in the final analysis.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jc w:val="center"/>
                  </w:pPr>
                  <w:r>
                    <w:t xml:space="preserve">Software</w:t>
                  </w:r>
                </w:p>
              </w:tc>
              <w:tc>
                <w:tcPr/>
                <w:p>
                  <w:pPr>
                    <w:pStyle w:val="Compact"/>
                    <w:jc w:val="left"/>
                    <w:jc w:val="center"/>
                  </w:pPr>
                  <w:r>
                    <w:t xml:space="preserve">Version</w:t>
                  </w:r>
                </w:p>
              </w:tc>
            </w:tr>
            <w:tr>
              <w:tc>
                <w:tcPr/>
                <w:p>
                  <w:pPr>
                    <w:pStyle w:val="Compact"/>
                    <w:jc w:val="left"/>
                    <w:jc w:val="center"/>
                  </w:pPr>
                  <w:r>
                    <w:t xml:space="preserve">R</w:t>
                  </w:r>
                </w:p>
              </w:tc>
              <w:tc>
                <w:tcPr/>
                <w:p>
                  <w:pPr>
                    <w:pStyle w:val="Compact"/>
                    <w:jc w:val="left"/>
                    <w:jc w:val="center"/>
                  </w:pPr>
                  <w:r>
                    <w:t xml:space="preserve">4.6.1</w:t>
                  </w:r>
                </w:p>
              </w:tc>
            </w:tr>
            <w:tr>
              <w:tc>
                <w:tcPr/>
                <w:p>
                  <w:pPr>
                    <w:pStyle w:val="Compact"/>
                    <w:jc w:val="left"/>
                    <w:jc w:val="center"/>
                  </w:pPr>
                  <w:r>
                    <w:t xml:space="preserve">brms</w:t>
                  </w:r>
                </w:p>
              </w:tc>
              <w:tc>
                <w:tcPr/>
                <w:p>
                  <w:pPr>
                    <w:pStyle w:val="Compact"/>
                    <w:jc w:val="left"/>
                    <w:jc w:val="center"/>
                  </w:pPr>
                  <w:r>
                    <w:t xml:space="preserve">2.23.0</w:t>
                  </w:r>
                </w:p>
              </w:tc>
            </w:tr>
            <w:tr>
              <w:tc>
                <w:tcPr/>
                <w:p>
                  <w:pPr>
                    <w:pStyle w:val="Compact"/>
                    <w:jc w:val="left"/>
                    <w:jc w:val="center"/>
                  </w:pPr>
                  <w:r>
                    <w:t xml:space="preserve">cmdstanr</w:t>
                  </w:r>
                </w:p>
              </w:tc>
              <w:tc>
                <w:tcPr/>
                <w:p>
                  <w:pPr>
                    <w:pStyle w:val="Compact"/>
                    <w:jc w:val="left"/>
                    <w:jc w:val="center"/>
                  </w:pPr>
                  <w:r>
                    <w:t xml:space="preserve">0.9.0</w:t>
                  </w:r>
                </w:p>
              </w:tc>
            </w:tr>
            <w:tr>
              <w:tc>
                <w:tcPr/>
                <w:p>
                  <w:pPr>
                    <w:pStyle w:val="Compact"/>
                    <w:jc w:val="left"/>
                    <w:jc w:val="center"/>
                  </w:pPr>
                  <w:r>
                    <w:t xml:space="preserve">posterior</w:t>
                  </w:r>
                </w:p>
              </w:tc>
              <w:tc>
                <w:tcPr/>
                <w:p>
                  <w:pPr>
                    <w:pStyle w:val="Compact"/>
                    <w:jc w:val="left"/>
                    <w:jc w:val="center"/>
                  </w:pPr>
                  <w:r>
                    <w:t xml:space="preserve">1.7.0</w:t>
                  </w:r>
                </w:p>
              </w:tc>
            </w:tr>
            <w:tr>
              <w:tc>
                <w:tcPr/>
                <w:p>
                  <w:pPr>
                    <w:pStyle w:val="Compact"/>
                    <w:jc w:val="left"/>
                    <w:jc w:val="center"/>
                  </w:pPr>
                  <w:r>
                    <w:t xml:space="preserve">tidybayes</w:t>
                  </w:r>
                </w:p>
              </w:tc>
              <w:tc>
                <w:tcPr/>
                <w:p>
                  <w:pPr>
                    <w:pStyle w:val="Compact"/>
                    <w:jc w:val="left"/>
                    <w:jc w:val="center"/>
                  </w:pPr>
                  <w:r>
                    <w:t xml:space="preserve">3.0.7</w:t>
                  </w:r>
                </w:p>
              </w:tc>
            </w:tr>
            <w:tr>
              <w:tc>
                <w:tcPr/>
                <w:p>
                  <w:pPr>
                    <w:pStyle w:val="Compact"/>
                    <w:jc w:val="left"/>
                    <w:jc w:val="center"/>
                  </w:pPr>
                  <w:r>
                    <w:t xml:space="preserve">mgcv</w:t>
                  </w:r>
                </w:p>
              </w:tc>
              <w:tc>
                <w:tcPr/>
                <w:p>
                  <w:pPr>
                    <w:pStyle w:val="Compact"/>
                    <w:jc w:val="left"/>
                    <w:jc w:val="center"/>
                  </w:pPr>
                  <w:r>
                    <w:t xml:space="preserve">1.9.4</w:t>
                  </w:r>
                </w:p>
              </w:tc>
            </w:tr>
            <w:tr>
              <w:tc>
                <w:tcPr/>
                <w:p>
                  <w:pPr>
                    <w:pStyle w:val="Compact"/>
                    <w:jc w:val="left"/>
                    <w:jc w:val="center"/>
                  </w:pPr>
                  <w:r>
                    <w:t xml:space="preserve">tidyverse</w:t>
                  </w:r>
                </w:p>
              </w:tc>
              <w:tc>
                <w:tcPr/>
                <w:p>
                  <w:pPr>
                    <w:pStyle w:val="Compact"/>
                    <w:jc w:val="left"/>
                    <w:jc w:val="center"/>
                  </w:pPr>
                  <w:r>
                    <w:t xml:space="preserve">2.0.0</w:t>
                  </w:r>
                </w:p>
              </w:tc>
            </w:tr>
            <w:tr>
              <w:tc>
                <w:tcPr/>
                <w:p>
                  <w:pPr>
                    <w:pStyle w:val="Compact"/>
                    <w:jc w:val="left"/>
                    <w:jc w:val="center"/>
                  </w:pPr>
                  <w:r>
                    <w:t xml:space="preserve">ggplot2</w:t>
                  </w:r>
                </w:p>
              </w:tc>
              <w:tc>
                <w:tcPr/>
                <w:p>
                  <w:pPr>
                    <w:pStyle w:val="Compact"/>
                    <w:jc w:val="left"/>
                    <w:jc w:val="center"/>
                  </w:pPr>
                  <w:r>
                    <w:t xml:space="preserve">4.0.3</w:t>
                  </w:r>
                </w:p>
              </w:tc>
            </w:tr>
            <w:tr>
              <w:tc>
                <w:tcPr/>
                <w:p>
                  <w:pPr>
                    <w:pStyle w:val="Compact"/>
                    <w:jc w:val="left"/>
                    <w:jc w:val="center"/>
                  </w:pPr>
                  <w:r>
                    <w:t xml:space="preserve">patchwork</w:t>
                  </w:r>
                </w:p>
              </w:tc>
              <w:tc>
                <w:tcPr/>
                <w:p>
                  <w:pPr>
                    <w:pStyle w:val="Compact"/>
                    <w:jc w:val="left"/>
                    <w:jc w:val="center"/>
                  </w:pPr>
                  <w:r>
                    <w:t xml:space="preserve">1.3.2</w:t>
                  </w:r>
                </w:p>
              </w:tc>
            </w:tr>
            <w:tr>
              <w:tc>
                <w:tcPr/>
                <w:p>
                  <w:pPr>
                    <w:pStyle w:val="Compact"/>
                    <w:jc w:val="left"/>
                    <w:jc w:val="center"/>
                  </w:pPr>
                  <w:r>
                    <w:t xml:space="preserve">flextable</w:t>
                  </w:r>
                </w:p>
              </w:tc>
              <w:tc>
                <w:tcPr/>
                <w:p>
                  <w:pPr>
                    <w:pStyle w:val="Compact"/>
                    <w:jc w:val="left"/>
                    <w:jc w:val="center"/>
                  </w:pPr>
                  <w:r>
                    <w:t xml:space="preserve">0.10.0</w:t>
                  </w:r>
                </w:p>
              </w:tc>
            </w:tr>
          </w:tbl>
          <w:bookmarkEnd w:id="20"/>
          <w:p/>
        </w:tc>
      </w:tr>
    </w:tbl>
    <w:bookmarkEnd w:id="21"/>
    <w:bookmarkEnd w:id="22"/>
    <w:bookmarkStart w:id="48" w:name="supplementary-figures"/>
    <w:p>
      <w:pPr>
        <w:pStyle w:val="Heading1"/>
      </w:pPr>
      <w:r>
        <w:t xml:space="preserve">Supplementary figures</w:t>
      </w:r>
    </w:p>
    <w:bookmarkStart w:id="27" w:name="X27f46ebd68937db73d9bbaecf3a1125fabbf03b"/>
    <w:p>
      <w:pPr>
        <w:pStyle w:val="Heading2"/>
      </w:pPr>
      <w:r>
        <w:t xml:space="preserve">Figure S1. Site-specific seasonal phenology</w:t>
      </w:r>
    </w:p>
    <w:tbl>
      <w:tblPr>
        <w:tblStyle w:val="Table"/>
        <w:tblW w:type="pct" w:w="5000"/>
        <w:tblLayout w:type="fixed"/>
        <w:tblLook w:firstRow="0" w:lastRow="0" w:firstColumn="0" w:lastColumn="0" w:noHBand="0" w:noVBand="0" w:val="0000"/>
      </w:tblPr>
      <w:tblGrid>
        <w:gridCol w:w="7920"/>
      </w:tblGrid>
      <w:tr>
        <w:tc>
          <w:tcPr/>
          <w:bookmarkStart w:id="26" w:name="fig-s1-site-phenology"/>
          <w:p>
            <w:pPr>
              <w:pStyle w:val="Compact"/>
              <w:jc w:val="center"/>
            </w:pPr>
            <w:r>
              <w:drawing>
                <wp:inline>
                  <wp:extent cx="5334000" cy="3151909"/>
                  <wp:effectExtent b="0" l="0" r="0" t="0"/>
                  <wp:docPr descr="" title="" id="24" name="Picture"/>
                  <a:graphic>
                    <a:graphicData uri="http://schemas.openxmlformats.org/drawingml/2006/picture">
                      <pic:pic>
                        <pic:nvPicPr>
                          <pic:cNvPr descr="C:/Users/AHitch/Documents/Stillwater/BucksBats/figs/supplementary/Figure_S1_site_seasonality.PNG" id="25" name="Picture"/>
                          <pic:cNvPicPr>
                            <a:picLocks noChangeArrowheads="1" noChangeAspect="1"/>
                          </pic:cNvPicPr>
                        </pic:nvPicPr>
                        <pic:blipFill>
                          <a:blip r:embed="rId23"/>
                          <a:stretch>
                            <a:fillRect/>
                          </a:stretch>
                        </pic:blipFill>
                        <pic:spPr bwMode="auto">
                          <a:xfrm>
                            <a:off x="0" y="0"/>
                            <a:ext cx="5334000" cy="3151909"/>
                          </a:xfrm>
                          <a:prstGeom prst="rect">
                            <a:avLst/>
                          </a:prstGeom>
                          <a:noFill/>
                          <a:ln w="9525">
                            <a:noFill/>
                            <a:headEnd/>
                            <a:tailEnd/>
                          </a:ln>
                        </pic:spPr>
                      </pic:pic>
                    </a:graphicData>
                  </a:graphic>
                </wp:inline>
              </w:drawing>
            </w:r>
          </w:p>
          <w:p>
            <w:pPr>
              <w:jc w:val="center"/>
            </w:pPr>
            <w:pPr>
              <w:jc w:val="left"/>
              <w:spacing w:before="200"/>
              <w:pStyle w:val="ImageCaption"/>
            </w:pPr>
            <w:r>
              <w:t xml:space="preserve">Figure 1: Site-specific seasonal phenology in bat activity from the final aggregate seasonal model. Gray curves show posterior median activity trajectories for individual sites, and the black curve and shaded intervals show the equal-site posterior average and associated credible intervals.</w:t>
            </w:r>
          </w:p>
          <w:bookmarkEnd w:id="26"/>
        </w:tc>
      </w:tr>
    </w:tbl>
    <w:bookmarkEnd w:id="27"/>
    <w:bookmarkStart w:id="32" w:name="figure-s2.-residual-temporal-dependence"/>
    <w:p>
      <w:pPr>
        <w:pStyle w:val="Heading2"/>
      </w:pPr>
      <w:r>
        <w:t xml:space="preserve">Figure S2. Residual temporal dependence</w:t>
      </w:r>
    </w:p>
    <w:tbl>
      <w:tblPr>
        <w:tblStyle w:val="Table"/>
        <w:tblW w:type="pct" w:w="5000"/>
        <w:tblLayout w:type="fixed"/>
        <w:tblLook w:firstRow="0" w:lastRow="0" w:firstColumn="0" w:lastColumn="0" w:noHBand="0" w:noVBand="0" w:val="0000"/>
      </w:tblPr>
      <w:tblGrid>
        <w:gridCol w:w="7920"/>
      </w:tblGrid>
      <w:tr>
        <w:tc>
          <w:tcPr/>
          <w:bookmarkStart w:id="31" w:name="fig-s2-acf-comparison"/>
          <w:p>
            <w:pPr>
              <w:pStyle w:val="Compact"/>
              <w:jc w:val="center"/>
            </w:pPr>
            <w:r>
              <w:drawing>
                <wp:inline>
                  <wp:extent cx="5334000" cy="4000500"/>
                  <wp:effectExtent b="0" l="0" r="0" t="0"/>
                  <wp:docPr descr="" title="" id="29" name="Picture"/>
                  <a:graphic>
                    <a:graphicData uri="http://schemas.openxmlformats.org/drawingml/2006/picture">
                      <pic:pic>
                        <pic:nvPicPr>
                          <pic:cNvPr descr="C:/Users/AHitch/Documents/Stillwater/BucksBats/figs/supplementary/Figure_S2_residual_acf.PNG" id="30" name="Picture"/>
                          <pic:cNvPicPr>
                            <a:picLocks noChangeArrowheads="1" noChangeAspect="1"/>
                          </pic:cNvPicPr>
                        </pic:nvPicPr>
                        <pic:blipFill>
                          <a:blip r:embed="rId28"/>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2: Calendar-aware residual correlation for the final aggregate conditional environmental model and the final low-, mid-, and high-frequency conditional environmental models. Correlations are calculated using actual calendar-day lags so that gaps in sampling are not treated as consecutive observations.</w:t>
            </w:r>
          </w:p>
          <w:bookmarkEnd w:id="31"/>
        </w:tc>
      </w:tr>
    </w:tbl>
    <w:bookmarkEnd w:id="32"/>
    <w:bookmarkStart w:id="37" w:name="Xbb6c061f00038c3eb45ba6064f827537311e85a"/>
    <w:p>
      <w:pPr>
        <w:pStyle w:val="Heading2"/>
      </w:pPr>
      <w:r>
        <w:t xml:space="preserve">Figure S3. Aggregate posterior predictive checks</w:t>
      </w:r>
    </w:p>
    <w:tbl>
      <w:tblPr>
        <w:tblStyle w:val="Table"/>
        <w:tblW w:type="pct" w:w="5000"/>
        <w:tblLayout w:type="fixed"/>
        <w:tblLook w:firstRow="0" w:lastRow="0" w:firstColumn="0" w:lastColumn="0" w:noHBand="0" w:noVBand="0" w:val="0000"/>
      </w:tblPr>
      <w:tblGrid>
        <w:gridCol w:w="7920"/>
      </w:tblGrid>
      <w:tr>
        <w:tc>
          <w:tcPr/>
          <w:bookmarkStart w:id="36" w:name="fig-s3-aggregate-ppc"/>
          <w:p>
            <w:pPr>
              <w:pStyle w:val="Compact"/>
              <w:jc w:val="center"/>
            </w:pPr>
            <w:r>
              <w:drawing>
                <wp:inline>
                  <wp:extent cx="5334000" cy="4103076"/>
                  <wp:effectExtent b="0" l="0" r="0" t="0"/>
                  <wp:docPr descr="" title="" id="34" name="Picture"/>
                  <a:graphic>
                    <a:graphicData uri="http://schemas.openxmlformats.org/drawingml/2006/picture">
                      <pic:pic>
                        <pic:nvPicPr>
                          <pic:cNvPr descr="C:/Users/AHitch/Documents/Stillwater/BucksBats/figs/supplementary/Figure_S3_aggregate_ppc.PNG" id="35" name="Picture"/>
                          <pic:cNvPicPr>
                            <a:picLocks noChangeArrowheads="1" noChangeAspect="1"/>
                          </pic:cNvPicPr>
                        </pic:nvPicPr>
                        <pic:blipFill>
                          <a:blip r:embed="rId33"/>
                          <a:stretch>
                            <a:fillRect/>
                          </a:stretch>
                        </pic:blipFill>
                        <pic:spPr bwMode="auto">
                          <a:xfrm>
                            <a:off x="0" y="0"/>
                            <a:ext cx="5334000" cy="4103076"/>
                          </a:xfrm>
                          <a:prstGeom prst="rect">
                            <a:avLst/>
                          </a:prstGeom>
                          <a:noFill/>
                          <a:ln w="9525">
                            <a:noFill/>
                            <a:headEnd/>
                            <a:tailEnd/>
                          </a:ln>
                        </pic:spPr>
                      </pic:pic>
                    </a:graphicData>
                  </a:graphic>
                </wp:inline>
              </w:drawing>
            </w:r>
          </w:p>
          <w:p>
            <w:pPr>
              <w:jc w:val="center"/>
            </w:pPr>
            <w:pPr>
              <w:jc w:val="left"/>
              <w:spacing w:before="200"/>
              <w:pStyle w:val="ImageCaption"/>
            </w:pPr>
            <w:r>
              <w:t xml:space="preserve">Figure 3: Posterior predictive checks for the final aggregate conditional environmental model. Checks compare the observed nightly activity distribution with replicated datasets generated from the posterior predictive distribution and evaluate key features of the response distribution.</w:t>
            </w:r>
          </w:p>
          <w:bookmarkEnd w:id="36"/>
        </w:tc>
      </w:tr>
    </w:tbl>
    <w:bookmarkEnd w:id="37"/>
    <w:bookmarkStart w:id="42" w:name="Xebcf7c99e2c0616a4957b43c84e6c2dc62a9a8e"/>
    <w:p>
      <w:pPr>
        <w:pStyle w:val="Heading2"/>
      </w:pPr>
      <w:r>
        <w:t xml:space="preserve">Figure S4. Site-specific posterior predictive checks</w:t>
      </w:r>
    </w:p>
    <w:tbl>
      <w:tblPr>
        <w:tblStyle w:val="Table"/>
        <w:tblW w:type="pct" w:w="5000"/>
        <w:tblLayout w:type="fixed"/>
        <w:tblLook w:firstRow="0" w:lastRow="0" w:firstColumn="0" w:lastColumn="0" w:noHBand="0" w:noVBand="0" w:val="0000"/>
      </w:tblPr>
      <w:tblGrid>
        <w:gridCol w:w="7920"/>
      </w:tblGrid>
      <w:tr>
        <w:tc>
          <w:tcPr/>
          <w:bookmarkStart w:id="41" w:name="fig-s4-site-ppc"/>
          <w:p>
            <w:pPr>
              <w:pStyle w:val="Compact"/>
              <w:jc w:val="center"/>
            </w:pPr>
            <w:r>
              <w:drawing>
                <wp:inline>
                  <wp:extent cx="5334000" cy="4000500"/>
                  <wp:effectExtent b="0" l="0" r="0" t="0"/>
                  <wp:docPr descr="" title="" id="39" name="Picture"/>
                  <a:graphic>
                    <a:graphicData uri="http://schemas.openxmlformats.org/drawingml/2006/picture">
                      <pic:pic>
                        <pic:nvPicPr>
                          <pic:cNvPr descr="C:/Users/AHitch/Documents/Stillwater/BucksBats/figs/supplementary/Figure_S4_site_ppc.PNG" id="40" name="Picture"/>
                          <pic:cNvPicPr>
                            <a:picLocks noChangeArrowheads="1" noChangeAspect="1"/>
                          </pic:cNvPicPr>
                        </pic:nvPicPr>
                        <pic:blipFill>
                          <a:blip r:embed="rId38"/>
                          <a:stretch>
                            <a:fillRect/>
                          </a:stretch>
                        </pic:blipFill>
                        <pic:spPr bwMode="auto">
                          <a:xfrm>
                            <a:off x="0" y="0"/>
                            <a:ext cx="5334000" cy="4000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Site-specific posterior predictive checks for the final aggregate conditional environmental model. Crosses show observed site-level means and standard deviations of nightly activity; circles show posterior predictive medians and vertical intervals show 89% posterior predictive intervals.</w:t>
            </w:r>
          </w:p>
          <w:bookmarkEnd w:id="41"/>
        </w:tc>
      </w:tr>
    </w:tbl>
    <w:bookmarkEnd w:id="42"/>
    <w:bookmarkStart w:id="47" w:name="X9a935a20c0c040fbab59fae2fd8490d3a7ab5c0"/>
    <w:p>
      <w:pPr>
        <w:pStyle w:val="Heading2"/>
      </w:pPr>
      <w:r>
        <w:t xml:space="preserve">Figure S5. Frequency-group posterior predictive checks</w:t>
      </w:r>
    </w:p>
    <w:tbl>
      <w:tblPr>
        <w:tblStyle w:val="Table"/>
        <w:tblW w:type="pct" w:w="5000"/>
        <w:tblLayout w:type="fixed"/>
        <w:tblLook w:firstRow="0" w:lastRow="0" w:firstColumn="0" w:lastColumn="0" w:noHBand="0" w:noVBand="0" w:val="0000"/>
      </w:tblPr>
      <w:tblGrid>
        <w:gridCol w:w="7920"/>
      </w:tblGrid>
      <w:tr>
        <w:tc>
          <w:tcPr/>
          <w:bookmarkStart w:id="46" w:name="fig-s5-frequency-diagnostics"/>
          <w:p>
            <w:pPr>
              <w:pStyle w:val="Compact"/>
              <w:jc w:val="center"/>
            </w:pPr>
            <w:r>
              <w:drawing>
                <wp:inline>
                  <wp:extent cx="5334000" cy="4572000"/>
                  <wp:effectExtent b="0" l="0" r="0" t="0"/>
                  <wp:docPr descr="" title="" id="44" name="Picture"/>
                  <a:graphic>
                    <a:graphicData uri="http://schemas.openxmlformats.org/drawingml/2006/picture">
                      <pic:pic>
                        <pic:nvPicPr>
                          <pic:cNvPr descr="C:/Users/AHitch/Documents/Stillwater/BucksBats/figs/supplementary/Figure_S5_frequency_ppc.PNG" id="45" name="Picture"/>
                          <pic:cNvPicPr>
                            <a:picLocks noChangeArrowheads="1" noChangeAspect="1"/>
                          </pic:cNvPicPr>
                        </pic:nvPicPr>
                        <pic:blipFill>
                          <a:blip r:embed="rId43"/>
                          <a:stretch>
                            <a:fillRect/>
                          </a:stretch>
                        </pic:blipFill>
                        <pic:spPr bwMode="auto">
                          <a:xfrm>
                            <a:off x="0" y="0"/>
                            <a:ext cx="5334000" cy="4572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5: Posterior predictive checks for the final low-, mid-, and high-frequency conditional environmental models. For each frequency group, checks compare the observed response distribution with posterior predictive replicates and evaluate the standard deviation and proportion of zero-activity nights.</w:t>
            </w:r>
          </w:p>
          <w:bookmarkEnd w:id="46"/>
        </w:tc>
      </w:tr>
    </w:tbl>
    <w:bookmarkEnd w:id="47"/>
    <w:bookmarkEnd w:id="48"/>
    <w:bookmarkStart w:id="49" w:name="additional-model-assessment"/>
    <w:p>
      <w:pPr>
        <w:pStyle w:val="Heading1"/>
      </w:pPr>
      <w:r>
        <w:t xml:space="preserve">Additional model assessment</w:t>
      </w:r>
    </w:p>
    <w:p>
      <w:pPr>
        <w:pStyle w:val="FirstParagraph"/>
      </w:pPr>
      <w:r>
        <w:t xml:space="preserve">Routine trace plots are not reproduced because the tabulated sampling diagnostics document convergence and effective sample sizes for the final models. The graphical diagnostics above focus on model adequacy relevant to the biological estimands: posterior predictive fit, among-site predictive performance, and remaining short-lag temporal dependence.</w:t>
      </w:r>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28" Target="media/rId28.png" /><Relationship Type="http://schemas.openxmlformats.org/officeDocument/2006/relationships/image" Id="rId33" Target="media/rId33.png" /><Relationship Type="http://schemas.openxmlformats.org/officeDocument/2006/relationships/image" Id="rId38" Target="media/rId38.png" /><Relationship Type="http://schemas.openxmlformats.org/officeDocument/2006/relationships/image" Id="rId43" Target="media/rId4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2026-09-29T06:29:20Z</dcterms:created>
  <dcterms:modified xsi:type="dcterms:W3CDTF">2026-09-29T06:29:20Z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fig-cap-location">
    <vt:lpwstr>bottom</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bl-cap-location">
    <vt:lpwstr>top</vt:lpwstr>
  </property>
  <property fmtid="{D5CDD505-2E9C-101B-9397-08002B2CF9AE}" pid="9" name="toc-title">
    <vt:lpwstr>Table of contents</vt:lpwstr>
  </property>
</Properties>
</file>