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Summary of the acoustic sampling design and environmental conditions represented in the analysis. Environmental ranges are based on the site-night observations retained for modeling.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Sampling nights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Site-nights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Sampling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April 22–October 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of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112–290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Nightly mean 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-0.1–24.2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Nightly mean 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33.4–94.4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Lunar illumination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0.00–1.00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2026-09-28T14:35:04Z</dcterms:modified>
  <cp:category/>
</cp:coreProperties>
</file>