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S3a. Posterior summaries for the full conditional model (n ~ s(doy) + s(scale_avetemp) + s(scale_averh) + s(Lunar) + (1|Site)) fit separately by frequency group (N = 1,231 site-nights per group, 8 sites). This model estimates the direct effect of each environmental covariate after conditioning on the others. Posterior median, 89% credible interval, R-hat, and bulk effective sample size shown.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89%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89%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Rhat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Bulk ESS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4,151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 (random intercept)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3,308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s(temperature),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6,746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s(humidity),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s(lunar),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4,423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 (random intercept)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2,183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s(temperature),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s(humidity),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s(lunar),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1,583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 (random intercept)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s(doy),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s(temperature),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s(humidity), smooth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s(lunar), smooth SD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2026-09-22T01:34:24Z</dcterms:modified>
  <cp:category/>
</cp:coreProperties>
</file>