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S3b. Posterior summaries for the temperature-total model (n ~ s(doy) + s(scale_avetemp) + s(Lunar) + (1|Site)), fit separately by frequency group. Humidity is omitted from this specification to estimate the total effect of temperature on bat activity, including any indirect effect mediated through humidity. Comparison with Table S3a quantifies the extent of humidity mediation in each group.</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Lower 89%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Upper 89%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Bulk ESS</w:t>
            </w:r>
          </w:p>
        </w:tc>
      </w:tr>
      <w:tr>
        <w:trPr>
          <w:trHeight w:val="360"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4,710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Site (random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4,969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s(doy), smooth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3,537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s(temperature), smooth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6,698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s(lunar), smooth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4,057</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1,659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Site (random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2,566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s(doy), smooth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1,867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s(temperature), smooth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3,169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s(lunar), smooth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1,928</w:t>
            </w:r>
          </w:p>
        </w:tc>
      </w:tr>
      <w:tr>
        <w:trPr>
          <w:trHeight w:val="360"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709</w:t>
            </w:r>
          </w:p>
        </w:tc>
      </w:tr>
      <w:tr>
        <w:trPr>
          <w:trHeight w:val="360"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Site (random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s(doy), smooth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838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s(temperature), smooth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696</w:t>
            </w:r>
          </w:p>
        </w:tc>
      </w:tr>
      <w:tr>
        <w:trPr>
          <w:trHeight w:val="360"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s(lunar), smooth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722</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2026-09-22T01:34:26Z</dcterms:modified>
  <cp:category/>
</cp:coreProperties>
</file>