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S3c. Posterior summaries for the season-only model (n ~ s(doy) + (1|Site)), fit separately by frequency group. This specification estimates the total seasonal effect of day of year on bat activity prior to weather adjustment. Comparison with the doy smooth coefficients in Table S3a quantifies the proportion of seasonal variation in each group that is mediated by nightly weather.</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Lower 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Upper 89%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Bulk ESS</w:t>
            </w:r>
          </w:p>
        </w:tc>
      </w:tr>
      <w:tr>
        <w:trPr>
          <w:trHeight w:val="360"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3,921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Site (random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3,708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s(doy),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2,922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3,753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Site (random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3,505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s(doy), smooth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2,694</w:t>
            </w:r>
          </w:p>
        </w:tc>
      </w:tr>
      <w:tr>
        <w:trPr>
          <w:trHeight w:val="360"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755</w:t>
            </w:r>
          </w:p>
        </w:tc>
      </w:tr>
      <w:tr>
        <w:trPr>
          <w:trHeight w:val="360"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Site (random intercept)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1,414</w:t>
            </w:r>
          </w:p>
        </w:tc>
      </w:tr>
      <w:tr>
        <w:trPr>
          <w:trHeight w:val="36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s(doy), smooth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967</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2026-09-22T01:34:27Z</dcterms:modified>
  <cp:category/>
</cp:coreProperties>
</file>