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Scope: This document specifies the API for the command and control library for the MRS900 EchoLogger sonar.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Notes on Jetson: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CHAPTER 36: UART CONTROLLER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There are four Universal Asynchronous Receiver/Transmitters (UARTs) built into Tegra® X1 devices. These UARTs support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both 16450 and 16550 compatible modes. A fifth UART is located in the Audio Processing Engine (APE).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36.1 Functional Description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36.1.1 UARTs A through 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All UARTs provide serial data synchronization and data conversion (parallel-to-serial and serial-to-parallel) for both receiver and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transmitter sections. Synchronization for serial data stream is accomplished by adding start and stop bits to the transmit data 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form a data character. Data integrity is accomplished by attaching a parity bit to the data character. The parity bit can be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checked by the receiver for any transmission bit errors.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interface supports word lengths from five to eight bits, an optional parity bit, and one or two stop bits. If enabled, parity can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 odd, even, or forced to a defined state. Interrupts can be generated from any of 10 sources.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UART controller supports both 16450 and 16550 compatible modes. The default mode is 16450. This mode provides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independent 16-byte FIFOs for transmit and receive operations and is selected by the FIFO control register. It also includes 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16-bit programmable baud rate generator and an 8-bit scratch register, 8 modem control lines, and 2 DMA handshake lines that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are used to indicate when the FIFOs are ready to transfer data to the CPU.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UARTs support a device clock of up to 200 MHz. Each symbol requires 16 clock cycles for proper sampling and processing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of the input data stream. Thus, the maximum baud rate is 200/16 = 12.5M. Because 1 symbol = 1 bit, the data rate is 12.5 Mbps.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All four UARTs are identical.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