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46E5"/>
          <w:spacing w:val="20"/>
          <w:sz w:val="18"/>
          <w:szCs w:val="18"/>
        </w:rPr>
        <w:t xml:space="preserve">PROJECT STATUS UPDATE</w:t>
      </w:r>
    </w:p>
    <w:p>
      <w:pPr>
        <w:spacing w:after="100"/>
      </w:pPr>
      <w:r>
        <w:rPr>
          <w:rFonts w:ascii="Calibri" w:cs="Calibri" w:eastAsia="Calibri" w:hAnsi="Calibri"/>
          <w:b/>
          <w:bCs/>
          <w:color w:val="1A1A1A"/>
          <w:sz w:val="40"/>
          <w:szCs w:val="40"/>
        </w:rPr>
        <w:t xml:space="preserve">WC Bill Review &amp; Code Anomaly Detection Agent</w:t>
      </w:r>
    </w:p>
    <w:p>
      <w:pPr>
        <w:pBdr>
          <w:bottom w:val="single" w:color="4F46E5" w:sz="12" w:space="8"/>
        </w:pBdr>
        <w:spacing w:after="300"/>
      </w:pPr>
      <w:r>
        <w:rPr>
          <w:rFonts w:ascii="Calibri" w:cs="Calibri" w:eastAsia="Calibri" w:hAnsi="Calibri"/>
          <w:i/>
          <w:iCs/>
          <w:color w:val="666666"/>
          <w:sz w:val="22"/>
          <w:szCs w:val="22"/>
        </w:rPr>
        <w:t xml:space="preserve">An automated first-pass reviewer for workers' comp medical bills, built and demonstrated end to end on synthetic data</w:t>
      </w:r>
    </w:p>
    <w:p>
      <w:pPr>
        <w:spacing w:after="40"/>
      </w:pPr>
      <w:r>
        <w:rPr>
          <w:rFonts w:ascii="Calibri" w:cs="Calibri" w:eastAsia="Calibri" w:hAnsi="Calibri"/>
          <w:b/>
          <w:bCs/>
          <w:color w:val="1A1A1A"/>
          <w:sz w:val="21"/>
          <w:szCs w:val="21"/>
        </w:rPr>
        <w:t xml:space="preserve">Prepared by: </w:t>
      </w:r>
      <w:r>
        <w:rPr>
          <w:rFonts w:ascii="Calibri" w:cs="Calibri" w:eastAsia="Calibri" w:hAnsi="Calibri"/>
          <w:color w:val="1A1A1A"/>
          <w:sz w:val="21"/>
          <w:szCs w:val="21"/>
        </w:rPr>
        <w:t xml:space="preserve">Bhargavi Patel</w:t>
      </w:r>
    </w:p>
    <w:p>
      <w:pPr>
        <w:spacing w:after="40"/>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September 2026</w:t>
      </w:r>
    </w:p>
    <w:p>
      <w:pPr>
        <w:spacing w:after="400"/>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Completed capability demonstration — Weeks 1–4 and 6 (partial) done; see “Status summary” for full detail</w:t>
      </w:r>
    </w:p>
    <w:p>
      <w:pPr>
        <w:pStyle w:val="Heading1"/>
        <w:pBdr>
          <w:bottom w:val="single" w:color="4F46E5" w:sz="8" w:space="4"/>
        </w:pBdr>
        <w:spacing w:after="160" w:before="360"/>
      </w:pPr>
      <w:r>
        <w:rPr>
          <w:rFonts w:ascii="Calibri" w:cs="Calibri" w:eastAsia="Calibri" w:hAnsi="Calibri"/>
          <w:b/>
          <w:bCs/>
          <w:color w:val="1A1A1A"/>
          <w:sz w:val="30"/>
          <w:szCs w:val="30"/>
        </w:rPr>
        <w:t xml:space="preserve">Executive summary</w:t>
      </w:r>
    </w:p>
    <w:p>
      <w:pPr>
        <w:spacing w:after="160" w:line="300"/>
      </w:pPr>
      <w:r>
        <w:rPr>
          <w:rFonts w:ascii="Calibri" w:cs="Calibri" w:eastAsia="Calibri" w:hAnsi="Calibri"/>
          <w:color w:val="1A1A1A"/>
          <w:sz w:val="21"/>
          <w:szCs w:val="21"/>
        </w:rPr>
        <w:t xml:space="preserve">This project is a working demonstration of an AI system that reviews workers’ comp medical bills and flags four common coding problems: </w:t>
      </w:r>
      <w:r>
        <w:rPr>
          <w:rFonts w:ascii="Calibri" w:cs="Calibri" w:eastAsia="Calibri" w:hAnsi="Calibri"/>
          <w:b/>
          <w:bCs/>
          <w:color w:val="1A1A1A"/>
          <w:sz w:val="21"/>
          <w:szCs w:val="21"/>
        </w:rPr>
        <w:t xml:space="preserve">unbundling, fragmented billing, diagnosis-procedure causality mismatches, and upcoding.</w:t>
      </w:r>
      <w:r>
        <w:rPr>
          <w:rFonts w:ascii="Calibri" w:cs="Calibri" w:eastAsia="Calibri" w:hAnsi="Calibri"/>
          <w:color w:val="1A1A1A"/>
          <w:sz w:val="21"/>
          <w:szCs w:val="21"/>
        </w:rPr>
        <w:t xml:space="preserve"> It was built as a portfolio / capability project using </w:t>
      </w:r>
      <w:r>
        <w:rPr>
          <w:rFonts w:ascii="Calibri" w:cs="Calibri" w:eastAsia="Calibri" w:hAnsi="Calibri"/>
          <w:b/>
          <w:bCs/>
          <w:color w:val="1A1A1A"/>
          <w:sz w:val="21"/>
          <w:szCs w:val="21"/>
        </w:rPr>
        <w:t xml:space="preserve">100% synthetic data</w:t>
      </w:r>
      <w:r>
        <w:rPr>
          <w:rFonts w:ascii="Calibri" w:cs="Calibri" w:eastAsia="Calibri" w:hAnsi="Calibri"/>
          <w:color w:val="1A1A1A"/>
          <w:sz w:val="21"/>
          <w:szCs w:val="21"/>
        </w:rPr>
        <w:t xml:space="preserve"> — no real patients, providers, or claims appear anywhere — checked against </w:t>
      </w:r>
      <w:r>
        <w:rPr>
          <w:rFonts w:ascii="Calibri" w:cs="Calibri" w:eastAsia="Calibri" w:hAnsi="Calibri"/>
          <w:b/>
          <w:bCs/>
          <w:color w:val="1A1A1A"/>
          <w:sz w:val="21"/>
          <w:szCs w:val="21"/>
        </w:rPr>
        <w:t xml:space="preserve">real, publicly published coding rules</w:t>
      </w:r>
      <w:r>
        <w:rPr>
          <w:rFonts w:ascii="Calibri" w:cs="Calibri" w:eastAsia="Calibri" w:hAnsi="Calibri"/>
          <w:color w:val="1A1A1A"/>
          <w:sz w:val="21"/>
          <w:szCs w:val="21"/>
        </w:rPr>
        <w:t xml:space="preserve"> (CPT/HCPCS, ICD-10-CM, NCCI PTP edits, CMS MUE tables).</w:t>
      </w:r>
    </w:p>
    <w:p>
      <w:pPr>
        <w:spacing w:after="160" w:line="300"/>
      </w:pPr>
      <w:r>
        <w:rPr>
          <w:rFonts w:ascii="Calibri" w:cs="Calibri" w:eastAsia="Calibri" w:hAnsi="Calibri"/>
          <w:color w:val="1A1A1A"/>
          <w:sz w:val="21"/>
          <w:szCs w:val="21"/>
        </w:rPr>
        <w:t xml:space="preserve">The system is complete and runnable end to end today: a synthetic bill generator, a trained multi-label classifier, a drift-monitoring and retraining-trigger pipeline, a retrieval-grounded explanation agent, and a containerized web API with a working chat-style UI. This report summarizes what was built, how it performs, and — in the interest of an honest status update rather than a sales pitch — what its evaluation actually shows, including where it falls short today.</w:t>
      </w:r>
    </w:p>
    <w:p>
      <w:pPr>
        <w:spacing w:after="160" w:line="300"/>
      </w:pPr>
      <w:r>
        <w:rPr>
          <w:rFonts w:ascii="Calibri" w:cs="Calibri" w:eastAsia="Calibri" w:hAnsi="Calibri"/>
          <w:b/>
          <w:bCs/>
          <w:color w:val="1A1A1A"/>
          <w:sz w:val="21"/>
          <w:szCs w:val="21"/>
        </w:rPr>
        <w:t xml:space="preserve">This is a status update, not a funding request.</w:t>
      </w:r>
      <w:r>
        <w:rPr>
          <w:rFonts w:ascii="Calibri" w:cs="Calibri" w:eastAsia="Calibri" w:hAnsi="Calibri"/>
          <w:color w:val="1A1A1A"/>
          <w:sz w:val="21"/>
          <w:szCs w:val="21"/>
        </w:rPr>
        <w:t xml:space="preserve"> Nothing here proposes a budget, a deployment timeline, or new resources. It documents a finished piece of work and the honest state of its results.</w:t>
      </w:r>
    </w:p>
    <w:p>
      <w:pPr>
        <w:pStyle w:val="Heading1"/>
        <w:pBdr>
          <w:bottom w:val="single" w:color="4F46E5" w:sz="8" w:space="4"/>
        </w:pBdr>
        <w:spacing w:after="160" w:before="360"/>
      </w:pPr>
      <w:r>
        <w:rPr>
          <w:rFonts w:ascii="Calibri" w:cs="Calibri" w:eastAsia="Calibri" w:hAnsi="Calibri"/>
          <w:b/>
          <w:bCs/>
          <w:color w:val="1A1A1A"/>
          <w:sz w:val="30"/>
          <w:szCs w:val="30"/>
        </w:rPr>
        <w:t xml:space="preserve">What this system does</w:t>
      </w:r>
    </w:p>
    <w:p>
      <w:pPr>
        <w:spacing w:after="160" w:line="300"/>
      </w:pPr>
      <w:r>
        <w:rPr>
          <w:rFonts w:ascii="Calibri" w:cs="Calibri" w:eastAsia="Calibri" w:hAnsi="Calibri"/>
          <w:color w:val="1A1A1A"/>
          <w:sz w:val="21"/>
          <w:szCs w:val="21"/>
        </w:rPr>
        <w:t xml:space="preserve">A reviewer gives the system a bill ID (or, via the API, a bill’s data directly) and gets back, within about a second, a decision on each of four independent checks, plus — when requested — a plain-language explanation grounded in the specific rule that was broken.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Check</w:t>
            </w:r>
          </w:p>
        </w:tc>
        <w:tc>
          <w:tcPr>
            <w:tcW w:type="dxa" w:w="76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What it catches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Unbundling</w:t>
            </w:r>
          </w:p>
        </w:tc>
        <w:tc>
          <w:tcPr>
            <w:tcW w:type="dxa" w:w="76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Two procedures billed separately when one is already included in the other under a real NCCI “don’t bill together” edit pair.</w:t>
            </w:r>
          </w:p>
        </w:tc>
      </w:tr>
      <w:tr>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Fragmented billing</w:t>
            </w:r>
          </w:p>
        </w:tc>
        <w:tc>
          <w:tcPr>
            <w:tcW w:type="dxa" w:w="76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 procedure code billed more times in one day than its CMS-published per-day cap (MUE) allows.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Causality mismatch</w:t>
            </w:r>
          </w:p>
        </w:tc>
        <w:tc>
          <w:tcPr>
            <w:tcW w:type="dxa" w:w="76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The billed procedure doesn’t match the body region of the billed diagnosis — e.g. a wrist injury billed against knee surgery.</w:t>
            </w:r>
          </w:p>
        </w:tc>
      </w:tr>
      <w:tr>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Upcoding</w:t>
            </w:r>
          </w:p>
        </w:tc>
        <w:tc>
          <w:tcPr>
            <w:tcW w:type="dxa" w:w="76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An office-visit code billed at a higher complexity level than the documentation supports.</w:t>
            </w:r>
          </w:p>
        </w:tc>
      </w:tr>
    </w:tbl>
    <w:p>
      <w:pPr>
        <w:spacing w:after="120"/>
      </w:pPr>
    </w:p>
    <w:p>
      <w:pPr>
        <w:pStyle w:val="Heading1"/>
        <w:pBdr>
          <w:bottom w:val="single" w:color="4F46E5" w:sz="8" w:space="4"/>
        </w:pBdr>
        <w:spacing w:after="160" w:before="360"/>
      </w:pPr>
      <w:r>
        <w:rPr>
          <w:rFonts w:ascii="Calibri" w:cs="Calibri" w:eastAsia="Calibri" w:hAnsi="Calibri"/>
          <w:b/>
          <w:bCs/>
          <w:color w:val="1A1A1A"/>
          <w:sz w:val="30"/>
          <w:szCs w:val="30"/>
        </w:rPr>
        <w:t xml:space="preserve">How it works</w:t>
      </w:r>
    </w:p>
    <w:p>
      <w:pPr>
        <w:spacing w:after="160" w:line="300"/>
      </w:pPr>
      <w:r>
        <w:rPr>
          <w:rFonts w:ascii="Calibri" w:cs="Calibri" w:eastAsia="Calibri" w:hAnsi="Calibri"/>
          <w:color w:val="1A1A1A"/>
          <w:sz w:val="21"/>
          <w:szCs w:val="21"/>
        </w:rPr>
        <w:t xml:space="preserve">The system is six components, each mapped to a specific deliverable in the repository:</w:t>
      </w:r>
    </w:p>
    <w:p>
      <w:pPr>
        <w:pStyle w:val="ListParagraph"/>
        <w:numPr>
          <w:ilvl w:val="0"/>
          <w:numId w:val="2"/>
        </w:numPr>
        <w:spacing w:after="80" w:line="280"/>
      </w:pPr>
      <w:r>
        <w:rPr>
          <w:rFonts w:ascii="Calibri" w:cs="Calibri" w:eastAsia="Calibri" w:hAnsi="Calibri"/>
          <w:b/>
          <w:bCs/>
          <w:color w:val="1A1A1A"/>
          <w:sz w:val="21"/>
          <w:szCs w:val="21"/>
        </w:rPr>
        <w:t xml:space="preserve">Synthetic bill generation — </w:t>
      </w:r>
      <w:r>
        <w:rPr>
          <w:rFonts w:ascii="Calibri" w:cs="Calibri" w:eastAsia="Calibri" w:hAnsi="Calibri"/>
          <w:color w:val="1A1A1A"/>
          <w:sz w:val="21"/>
          <w:szCs w:val="21"/>
        </w:rPr>
        <w:t xml:space="preserve">a rule engine builds thousands of realistic workers’ comp bills against the real coding-rule tables, deliberately injecting exactly one of the four violation types into about 1 in 5 bills, so every bill’s correct answer is known in advance.</w:t>
      </w:r>
    </w:p>
    <w:p>
      <w:pPr>
        <w:pStyle w:val="ListParagraph"/>
        <w:numPr>
          <w:ilvl w:val="0"/>
          <w:numId w:val="2"/>
        </w:numPr>
        <w:spacing w:after="80" w:line="280"/>
      </w:pPr>
      <w:r>
        <w:rPr>
          <w:rFonts w:ascii="Calibri" w:cs="Calibri" w:eastAsia="Calibri" w:hAnsi="Calibri"/>
          <w:b/>
          <w:bCs/>
          <w:color w:val="1A1A1A"/>
          <w:sz w:val="21"/>
          <w:szCs w:val="21"/>
        </w:rPr>
        <w:t xml:space="preserve">Feature engineering — </w:t>
      </w:r>
      <w:r>
        <w:rPr>
          <w:rFonts w:ascii="Calibri" w:cs="Calibri" w:eastAsia="Calibri" w:hAnsi="Calibri"/>
          <w:color w:val="1A1A1A"/>
          <w:sz w:val="21"/>
          <w:szCs w:val="21"/>
        </w:rPr>
        <w:t xml:space="preserve">bill data is converted into a feature table a model can learn from, including both direct rule-restatement features and more indirect signals (code-pair rarity, provider peer deviation, raw units/charges).</w:t>
      </w:r>
    </w:p>
    <w:p>
      <w:pPr>
        <w:pStyle w:val="ListParagraph"/>
        <w:numPr>
          <w:ilvl w:val="0"/>
          <w:numId w:val="2"/>
        </w:numPr>
        <w:spacing w:after="80" w:line="280"/>
      </w:pPr>
      <w:r>
        <w:rPr>
          <w:rFonts w:ascii="Calibri" w:cs="Calibri" w:eastAsia="Calibri" w:hAnsi="Calibri"/>
          <w:b/>
          <w:bCs/>
          <w:color w:val="1A1A1A"/>
          <w:sz w:val="21"/>
          <w:szCs w:val="21"/>
        </w:rPr>
        <w:t xml:space="preserve">Model training &amp; scoring — </w:t>
      </w:r>
      <w:r>
        <w:rPr>
          <w:rFonts w:ascii="Calibri" w:cs="Calibri" w:eastAsia="Calibri" w:hAnsi="Calibri"/>
          <w:color w:val="1A1A1A"/>
          <w:sz w:val="21"/>
          <w:szCs w:val="21"/>
        </w:rPr>
        <w:t xml:space="preserve">an XGBoost multi-label classifier scores each bill on all four checks independently and simultaneously.</w:t>
      </w:r>
    </w:p>
    <w:p>
      <w:pPr>
        <w:pStyle w:val="ListParagraph"/>
        <w:numPr>
          <w:ilvl w:val="0"/>
          <w:numId w:val="2"/>
        </w:numPr>
        <w:spacing w:after="80" w:line="280"/>
      </w:pPr>
      <w:r>
        <w:rPr>
          <w:rFonts w:ascii="Calibri" w:cs="Calibri" w:eastAsia="Calibri" w:hAnsi="Calibri"/>
          <w:b/>
          <w:bCs/>
          <w:color w:val="1A1A1A"/>
          <w:sz w:val="21"/>
          <w:szCs w:val="21"/>
        </w:rPr>
        <w:t xml:space="preserve">Deterministic rule confirmation — </w:t>
      </w:r>
      <w:r>
        <w:rPr>
          <w:rFonts w:ascii="Calibri" w:cs="Calibri" w:eastAsia="Calibri" w:hAnsi="Calibri"/>
          <w:color w:val="1A1A1A"/>
          <w:sz w:val="21"/>
          <w:szCs w:val="21"/>
        </w:rPr>
        <w:t xml:space="preserve">for any bill the model flags, a separate, non-AI rule-checker (the same one used to label the training data) confirms the exact billing code(s) responsible — a free, local, always-consistent fact, not a second model guess.</w:t>
      </w:r>
    </w:p>
    <w:p>
      <w:pPr>
        <w:pStyle w:val="ListParagraph"/>
        <w:numPr>
          <w:ilvl w:val="0"/>
          <w:numId w:val="2"/>
        </w:numPr>
        <w:spacing w:after="80" w:line="280"/>
      </w:pPr>
      <w:r>
        <w:rPr>
          <w:rFonts w:ascii="Calibri" w:cs="Calibri" w:eastAsia="Calibri" w:hAnsi="Calibri"/>
          <w:b/>
          <w:bCs/>
          <w:color w:val="1A1A1A"/>
          <w:sz w:val="21"/>
          <w:szCs w:val="21"/>
        </w:rPr>
        <w:t xml:space="preserve">Grounded AI explanation (opt-in) — </w:t>
      </w:r>
      <w:r>
        <w:rPr>
          <w:rFonts w:ascii="Calibri" w:cs="Calibri" w:eastAsia="Calibri" w:hAnsi="Calibri"/>
          <w:color w:val="1A1A1A"/>
          <w:sz w:val="21"/>
          <w:szCs w:val="21"/>
        </w:rPr>
        <w:t xml:space="preserve">on request, a retrieval-augmented generation (RAG) agent looks up the exact rule text that was broken and asks a hosted language model to turn it into a plain-language, bill-specific explanation.</w:t>
      </w:r>
    </w:p>
    <w:p>
      <w:pPr>
        <w:pStyle w:val="ListParagraph"/>
        <w:numPr>
          <w:ilvl w:val="0"/>
          <w:numId w:val="2"/>
        </w:numPr>
        <w:spacing w:after="80" w:line="280"/>
      </w:pPr>
      <w:r>
        <w:rPr>
          <w:rFonts w:ascii="Calibri" w:cs="Calibri" w:eastAsia="Calibri" w:hAnsi="Calibri"/>
          <w:b/>
          <w:bCs/>
          <w:color w:val="1A1A1A"/>
          <w:sz w:val="21"/>
          <w:szCs w:val="21"/>
        </w:rPr>
        <w:t xml:space="preserve">Web service — </w:t>
      </w:r>
      <w:r>
        <w:rPr>
          <w:rFonts w:ascii="Calibri" w:cs="Calibri" w:eastAsia="Calibri" w:hAnsi="Calibri"/>
          <w:color w:val="1A1A1A"/>
          <w:sz w:val="21"/>
          <w:szCs w:val="21"/>
        </w:rPr>
        <w:t xml:space="preserve">all of the above is wrapped in a FastAPI service with a working chat-style UI, packaged as a Docker container that runs identically on any machine.</w:t>
      </w:r>
    </w:p>
    <w:p>
      <w:pPr>
        <w:spacing w:after="120"/>
      </w:pPr>
    </w:p>
    <w:p>
      <w:pPr>
        <w:pStyle w:val="Heading1"/>
        <w:pBdr>
          <w:bottom w:val="single" w:color="4F46E5" w:sz="8" w:space="4"/>
        </w:pBdr>
        <w:spacing w:after="160" w:before="360"/>
      </w:pPr>
      <w:r>
        <w:rPr>
          <w:rFonts w:ascii="Calibri" w:cs="Calibri" w:eastAsia="Calibri" w:hAnsi="Calibri"/>
          <w:b/>
          <w:bCs/>
          <w:color w:val="1A1A1A"/>
          <w:sz w:val="30"/>
          <w:szCs w:val="30"/>
        </w:rPr>
        <w:t xml:space="preserve">Model performance — an honest read</w:t>
      </w:r>
    </w:p>
    <w:p>
      <w:pPr>
        <w:spacing w:after="160" w:line="300"/>
      </w:pPr>
      <w:r>
        <w:rPr>
          <w:rFonts w:ascii="Calibri" w:cs="Calibri" w:eastAsia="Calibri" w:hAnsi="Calibri"/>
          <w:color w:val="1A1A1A"/>
          <w:sz w:val="21"/>
          <w:szCs w:val="21"/>
        </w:rPr>
        <w:t xml:space="preserve">Two evaluations are reported here on purpose, because the first one turned out to be too easy to be a meaningful test.</w:t>
      </w:r>
    </w:p>
    <w:p>
      <w:pPr>
        <w:pStyle w:val="Heading2"/>
        <w:spacing w:after="120" w:before="280"/>
      </w:pPr>
      <w:r>
        <w:rPr>
          <w:rFonts w:ascii="Calibri" w:cs="Calibri" w:eastAsia="Calibri" w:hAnsi="Calibri"/>
          <w:b/>
          <w:bCs/>
          <w:color w:val="4F46E5"/>
          <w:sz w:val="24"/>
          <w:szCs w:val="24"/>
        </w:rPr>
        <w:t xml:space="preserve">The headline number isn’t the real signal</w:t>
      </w:r>
    </w:p>
    <w:p>
      <w:pPr>
        <w:spacing w:after="160" w:line="300"/>
      </w:pPr>
      <w:r>
        <w:rPr>
          <w:rFonts w:ascii="Calibri" w:cs="Calibri" w:eastAsia="Calibri" w:hAnsi="Calibri"/>
          <w:color w:val="1A1A1A"/>
          <w:sz w:val="21"/>
          <w:szCs w:val="21"/>
        </w:rPr>
        <w:t xml:space="preserve">On the primary held-out test set (800 bills), both models tested score </w:t>
      </w:r>
      <w:r>
        <w:rPr>
          <w:rFonts w:ascii="Calibri" w:cs="Calibri" w:eastAsia="Calibri" w:hAnsi="Calibri"/>
          <w:b/>
          <w:bCs/>
          <w:color w:val="1A1A1A"/>
          <w:sz w:val="21"/>
          <w:szCs w:val="21"/>
        </w:rPr>
        <w:t xml:space="preserve">precision = recall = 1.0 on all four labels, at every threshold.</w:t>
      </w:r>
      <w:r>
        <w:rPr>
          <w:rFonts w:ascii="Calibri" w:cs="Calibri" w:eastAsia="Calibri" w:hAnsi="Calibri"/>
          <w:color w:val="1A1A1A"/>
          <w:sz w:val="21"/>
          <w:szCs w:val="21"/>
        </w:rPr>
        <w:t xml:space="preserve"> That is not a meaningful result: several of the engineered features are, by construction, an exact restatement of the same rule used to generate the label. A model that’s handed the answer as a feature will always find the answer — the primary evaluation is a useful pipeline sanity check, not evidence the model learned anything a hard-coded rule couldn’t already do.</w:t>
      </w:r>
    </w:p>
    <w:p>
      <w:pPr>
        <w:pStyle w:val="Heading2"/>
        <w:spacing w:after="120" w:before="280"/>
      </w:pPr>
      <w:r>
        <w:rPr>
          <w:rFonts w:ascii="Calibri" w:cs="Calibri" w:eastAsia="Calibri" w:hAnsi="Calibri"/>
          <w:b/>
          <w:bCs/>
          <w:color w:val="4F46E5"/>
          <w:sz w:val="24"/>
          <w:szCs w:val="24"/>
        </w:rPr>
        <w:t xml:space="preserve">The ablation evaluation is the real signal</w:t>
      </w:r>
    </w:p>
    <w:p>
      <w:pPr>
        <w:spacing w:after="160" w:line="300"/>
      </w:pPr>
      <w:r>
        <w:rPr>
          <w:rFonts w:ascii="Calibri" w:cs="Calibri" w:eastAsia="Calibri" w:hAnsi="Calibri"/>
          <w:color w:val="1A1A1A"/>
          <w:sz w:val="21"/>
          <w:szCs w:val="21"/>
        </w:rPr>
        <w:t xml:space="preserve">To find out what the model actually learns, it was retrained with those rule-restatement features removed, leaving only indirect signal (code-pair rarity, provider peer deviation, raw units/charges, and, for upcoding, two genuinely independent documentation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880"/>
      </w:tblGrid>
      <w:tr>
        <w:trPr>
          <w:tblHeader/>
        </w:trPr>
        <w:tc>
          <w:tcPr>
            <w:tcW w:type="dxa" w:w="24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Check</w:t>
            </w:r>
          </w:p>
        </w:tc>
        <w:tc>
          <w:tcPr>
            <w:tcW w:type="dxa" w:w="28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Precision / Recall (XGBoost)</w:t>
            </w:r>
          </w:p>
        </w:tc>
        <w:tc>
          <w:tcPr>
            <w:tcW w:type="dxa" w:w="48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Read</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Unbundling</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0.97 / 0.85</w:t>
            </w:r>
          </w:p>
        </w:tc>
        <w:tc>
          <w:tcPr>
            <w:tcW w:type="dxa" w:w="48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Recovers well — code-pair rarity and surgical-code flags carry real signal.</w:t>
            </w:r>
          </w:p>
        </w:tc>
      </w:tr>
      <w:tr>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Fragmented billing</w:t>
            </w:r>
          </w:p>
        </w:tc>
        <w:tc>
          <w:tcPr>
            <w:tcW w:type="dxa" w:w="2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1.00 / 0.93</w:t>
            </w:r>
          </w:p>
        </w:tc>
        <w:tc>
          <w:tcPr>
            <w:tcW w:type="dxa" w:w="48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Recovers well — raw billed units alone is a strong tell.</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Causality mismatch</w:t>
            </w:r>
          </w:p>
        </w:tc>
        <w:tc>
          <w:tcPr>
            <w:tcW w:type="dxa" w:w="280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0.50 / 0.03</w:t>
            </w:r>
          </w:p>
        </w:tc>
        <w:tc>
          <w:tcPr>
            <w:tcW w:type="dxa" w:w="48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Collapses. This is the honest finding — see below.</w:t>
            </w:r>
          </w:p>
        </w:tc>
      </w:tr>
      <w:tr>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Upcoding</w:t>
            </w:r>
          </w:p>
        </w:tc>
        <w:tc>
          <w:tcPr>
            <w:tcW w:type="dxa" w:w="2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1.00 / 1.00</w:t>
            </w:r>
          </w:p>
        </w:tc>
        <w:tc>
          <w:tcPr>
            <w:tcW w:type="dxa" w:w="48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Stays strong — the two documentation fields used here are genuinely independent, not a rule restatement.</w:t>
            </w:r>
          </w:p>
        </w:tc>
      </w:tr>
    </w:tbl>
    <w:p>
      <w:pPr>
        <w:spacing w:after="120"/>
      </w:pPr>
    </w:p>
    <w:p>
      <w:pPr>
        <w:spacing w:after="160" w:line="300"/>
      </w:pPr>
      <w:r>
        <w:rPr>
          <w:rFonts w:ascii="Calibri" w:cs="Calibri" w:eastAsia="Calibri" w:hAnsi="Calibri"/>
          <w:b/>
          <w:bCs/>
          <w:color w:val="1A1A1A"/>
          <w:sz w:val="21"/>
          <w:szCs w:val="21"/>
        </w:rPr>
        <w:t xml:space="preserve">Causality mismatch is the one check that doesn’t yet work without the direct rule feature. </w:t>
      </w:r>
      <w:r>
        <w:rPr>
          <w:rFonts w:ascii="Calibri" w:cs="Calibri" w:eastAsia="Calibri" w:hAnsi="Calibri"/>
          <w:color w:val="1A1A1A"/>
          <w:sz w:val="21"/>
          <w:szCs w:val="21"/>
        </w:rPr>
        <w:t xml:space="preserve">Without it, neither model tested can reliably catch a diagnosis/procedure mismatch — there is currently no second, independent feature carrying that signal. The concrete next step, already identified, is to add the diagnosis’s own body region as an explicit feature (mirroring how the injury’s body region is already captured), so the model has redundant signal instead of depending on a single engineered column. This is flagged as a known follow-up, not something masked or left undocumented.</w:t>
      </w:r>
    </w:p>
    <w:p>
      <w:pPr>
        <w:spacing w:after="160" w:line="300"/>
      </w:pPr>
      <w:r>
        <w:rPr>
          <w:rFonts w:ascii="Calibri" w:cs="Calibri" w:eastAsia="Calibri" w:hAnsi="Calibri"/>
          <w:color w:val="1A1A1A"/>
          <w:sz w:val="21"/>
          <w:szCs w:val="21"/>
        </w:rPr>
        <w:t xml:space="preserve">XGBoost was chosen as the production model because it outperforms logistic regression on every check except upcoding (where both are already perfect) — the logistic regression model is kept and versioned as an interpretable baseline.</w:t>
      </w:r>
    </w:p>
    <w:p>
      <w:pPr>
        <w:pStyle w:val="Heading2"/>
        <w:spacing w:after="120" w:before="280"/>
      </w:pPr>
      <w:r>
        <w:rPr>
          <w:rFonts w:ascii="Calibri" w:cs="Calibri" w:eastAsia="Calibri" w:hAnsi="Calibri"/>
          <w:b/>
          <w:bCs/>
          <w:color w:val="4F46E5"/>
          <w:sz w:val="24"/>
          <w:szCs w:val="24"/>
        </w:rPr>
        <w:t xml:space="preserve">Where the operating threshold is set, and why</w:t>
      </w:r>
    </w:p>
    <w:p>
      <w:pPr>
        <w:spacing w:after="160" w:line="300"/>
      </w:pPr>
      <w:r>
        <w:rPr>
          <w:rFonts w:ascii="Calibri" w:cs="Calibri" w:eastAsia="Calibri" w:hAnsi="Calibri"/>
          <w:color w:val="1A1A1A"/>
          <w:sz w:val="21"/>
          <w:szCs w:val="21"/>
        </w:rPr>
        <w:t xml:space="preserve">Because false negatives (a missed coding error) cost more in this domain than false positives (a reviewer spends a few minutes on a clean bill), the threshold sweep below — run on the ablated model, since the primary model’s score is perfectly separable and gives a flat, uninformative sweep — was used to pick a starting operating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400"/>
        <w:gridCol w:w="2100"/>
        <w:gridCol w:w="3180"/>
      </w:tblGrid>
      <w:tr>
        <w:trPr>
          <w:tblHeader/>
        </w:trPr>
        <w:tc>
          <w:tcPr>
            <w:tcW w:type="dxa" w:w="17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Threshold</w:t>
            </w:r>
          </w:p>
        </w:tc>
        <w:tc>
          <w:tcPr>
            <w:tcW w:type="dxa" w:w="17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Precision</w:t>
            </w:r>
          </w:p>
        </w:tc>
        <w:tc>
          <w:tcPr>
            <w:tcW w:type="dxa" w:w="14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Recall</w:t>
            </w:r>
          </w:p>
        </w:tc>
        <w:tc>
          <w:tcPr>
            <w:tcW w:type="dxa" w:w="21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Flags / 800 bills</w:t>
            </w:r>
          </w:p>
        </w:tc>
        <w:tc>
          <w:tcPr>
            <w:tcW w:type="dxa" w:w="31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Violations missed</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0.1</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0.61</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0.78</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204</w:t>
            </w:r>
          </w:p>
        </w:tc>
        <w:tc>
          <w:tcPr>
            <w:tcW w:type="dxa" w:w="31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36</w:t>
            </w:r>
          </w:p>
        </w:tc>
      </w:tr>
      <w:tr>
        <w:tc>
          <w:tcPr>
            <w:tcW w:type="dxa" w:w="17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0.2</w:t>
            </w:r>
          </w:p>
        </w:tc>
        <w:tc>
          <w:tcPr>
            <w:tcW w:type="dxa" w:w="17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0.83</w:t>
            </w:r>
          </w:p>
        </w:tc>
        <w:tc>
          <w:tcPr>
            <w:tcW w:type="dxa" w:w="1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0.74</w:t>
            </w:r>
          </w:p>
        </w:tc>
        <w:tc>
          <w:tcPr>
            <w:tcW w:type="dxa" w:w="21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143</w:t>
            </w:r>
          </w:p>
        </w:tc>
        <w:tc>
          <w:tcPr>
            <w:tcW w:type="dxa" w:w="31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42</w:t>
            </w:r>
          </w:p>
        </w:tc>
      </w:tr>
      <w:tr>
        <w:tc>
          <w:tcPr>
            <w:tcW w:type="dxa" w:w="1700"/>
            <w:tcMar>
              <w:top w:type="dxa" w:w="80"/>
              <w:left w:type="dxa" w:w="100"/>
              <w:bottom w:type="dxa" w:w="80"/>
              <w:right w:type="dxa" w:w="100"/>
            </w:tcMar>
            <w:vAlign w:val="center"/>
          </w:tcPr>
          <w:p>
            <w:pPr>
              <w:jc w:val="left"/>
            </w:pPr>
            <w:r>
              <w:rPr>
                <w:rFonts w:ascii="Calibri" w:cs="Calibri" w:eastAsia="Calibri" w:hAnsi="Calibri"/>
                <w:b/>
                <w:bCs/>
                <w:color w:val="1A1A1A"/>
                <w:sz w:val="19"/>
                <w:szCs w:val="19"/>
              </w:rPr>
              <w:t xml:space="preserve">0.3</w:t>
            </w:r>
          </w:p>
        </w:tc>
        <w:tc>
          <w:tcPr>
            <w:tcW w:type="dxa" w:w="1700"/>
            <w:tcMar>
              <w:top w:type="dxa" w:w="80"/>
              <w:left w:type="dxa" w:w="100"/>
              <w:bottom w:type="dxa" w:w="80"/>
              <w:right w:type="dxa" w:w="100"/>
            </w:tcMar>
            <w:vAlign w:val="center"/>
          </w:tcPr>
          <w:p>
            <w:pPr>
              <w:jc w:val="left"/>
            </w:pPr>
            <w:r>
              <w:rPr>
                <w:rFonts w:ascii="Calibri" w:cs="Calibri" w:eastAsia="Calibri" w:hAnsi="Calibri"/>
                <w:b/>
                <w:bCs/>
                <w:color w:val="1A1A1A"/>
                <w:sz w:val="19"/>
                <w:szCs w:val="19"/>
              </w:rPr>
              <w:t xml:space="preserve">0.91</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A1A1A"/>
                <w:sz w:val="19"/>
                <w:szCs w:val="19"/>
              </w:rPr>
              <w:t xml:space="preserve">0.73</w:t>
            </w:r>
          </w:p>
        </w:tc>
        <w:tc>
          <w:tcPr>
            <w:tcW w:type="dxa" w:w="2100"/>
            <w:tcMar>
              <w:top w:type="dxa" w:w="80"/>
              <w:left w:type="dxa" w:w="100"/>
              <w:bottom w:type="dxa" w:w="80"/>
              <w:right w:type="dxa" w:w="100"/>
            </w:tcMar>
            <w:vAlign w:val="center"/>
          </w:tcPr>
          <w:p>
            <w:pPr>
              <w:jc w:val="left"/>
            </w:pPr>
            <w:r>
              <w:rPr>
                <w:rFonts w:ascii="Calibri" w:cs="Calibri" w:eastAsia="Calibri" w:hAnsi="Calibri"/>
                <w:b/>
                <w:bCs/>
                <w:color w:val="1A1A1A"/>
                <w:sz w:val="19"/>
                <w:szCs w:val="19"/>
              </w:rPr>
              <w:t xml:space="preserve">129</w:t>
            </w:r>
          </w:p>
        </w:tc>
        <w:tc>
          <w:tcPr>
            <w:tcW w:type="dxa" w:w="3180"/>
            <w:tcMar>
              <w:top w:type="dxa" w:w="80"/>
              <w:left w:type="dxa" w:w="100"/>
              <w:bottom w:type="dxa" w:w="80"/>
              <w:right w:type="dxa" w:w="100"/>
            </w:tcMar>
            <w:vAlign w:val="center"/>
          </w:tcPr>
          <w:p>
            <w:pPr>
              <w:jc w:val="left"/>
            </w:pPr>
            <w:r>
              <w:rPr>
                <w:rFonts w:ascii="Calibri" w:cs="Calibri" w:eastAsia="Calibri" w:hAnsi="Calibri"/>
                <w:b/>
                <w:bCs/>
                <w:color w:val="1A1A1A"/>
                <w:sz w:val="19"/>
                <w:szCs w:val="19"/>
              </w:rPr>
              <w:t xml:space="preserve">43</w:t>
            </w:r>
          </w:p>
        </w:tc>
      </w:tr>
      <w:tr>
        <w:tc>
          <w:tcPr>
            <w:tcW w:type="dxa" w:w="17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0.5</w:t>
            </w:r>
          </w:p>
        </w:tc>
        <w:tc>
          <w:tcPr>
            <w:tcW w:type="dxa" w:w="17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0.98</w:t>
            </w:r>
          </w:p>
        </w:tc>
        <w:tc>
          <w:tcPr>
            <w:tcW w:type="dxa" w:w="1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0.71</w:t>
            </w:r>
          </w:p>
        </w:tc>
        <w:tc>
          <w:tcPr>
            <w:tcW w:type="dxa" w:w="21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115</w:t>
            </w:r>
          </w:p>
        </w:tc>
        <w:tc>
          <w:tcPr>
            <w:tcW w:type="dxa" w:w="31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47</w:t>
            </w:r>
          </w:p>
        </w:tc>
      </w:tr>
      <w:t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0.9</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1.00</w:t>
            </w:r>
          </w:p>
        </w:tc>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0.66</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105</w:t>
            </w:r>
          </w:p>
        </w:tc>
        <w:tc>
          <w:tcPr>
            <w:tcW w:type="dxa" w:w="31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55</w:t>
            </w:r>
          </w:p>
        </w:tc>
      </w:tr>
    </w:tbl>
    <w:p>
      <w:pPr>
        <w:spacing w:after="120"/>
      </w:pPr>
    </w:p>
    <w:p>
      <w:pPr>
        <w:spacing w:after="160" w:line="300"/>
      </w:pPr>
      <w:r>
        <w:rPr>
          <w:rFonts w:ascii="Calibri" w:cs="Calibri" w:eastAsia="Calibri" w:hAnsi="Calibri"/>
          <w:color w:val="1A1A1A"/>
          <w:sz w:val="21"/>
          <w:szCs w:val="21"/>
        </w:rPr>
        <w:t xml:space="preserve">t≈</w:t>
      </w:r>
      <w:r>
        <w:rPr>
          <w:rFonts w:ascii="Calibri" w:cs="Calibri" w:eastAsia="Calibri" w:hAnsi="Calibri"/>
          <w:b/>
          <w:bCs/>
          <w:color w:val="1A1A1A"/>
          <w:sz w:val="21"/>
          <w:szCs w:val="21"/>
        </w:rPr>
        <w:t xml:space="preserve">0.3</w:t>
      </w:r>
      <w:r>
        <w:rPr>
          <w:rFonts w:ascii="Calibri" w:cs="Calibri" w:eastAsia="Calibri" w:hAnsi="Calibri"/>
          <w:color w:val="1A1A1A"/>
          <w:sz w:val="21"/>
          <w:szCs w:val="21"/>
        </w:rPr>
        <w:t xml:space="preserve"> was chosen as a starting default: about 9 in 10 flags are real, catching roughly 73% of violations, without an unmanageable review queue. This is explicitly framed as a </w:t>
      </w:r>
      <w:r>
        <w:rPr>
          <w:rFonts w:ascii="Calibri" w:cs="Calibri" w:eastAsia="Calibri" w:hAnsi="Calibri"/>
          <w:i/>
          <w:iCs/>
          <w:color w:val="666666"/>
          <w:sz w:val="21"/>
          <w:szCs w:val="21"/>
        </w:rPr>
        <w:t xml:space="preserve">starting point, not a final answer</w:t>
      </w:r>
      <w:r>
        <w:rPr>
          <w:rFonts w:ascii="Calibri" w:cs="Calibri" w:eastAsia="Calibri" w:hAnsi="Calibri"/>
          <w:color w:val="1A1A1A"/>
          <w:sz w:val="21"/>
          <w:szCs w:val="21"/>
        </w:rPr>
        <w:t xml:space="preserve"> — in a real deployment the threshold would be tuned against actual reviewer capacity, and revisited once causality_mismatch gets its second supporting feature.</w:t>
      </w:r>
    </w:p>
    <w:p>
      <w:pPr>
        <w:pStyle w:val="Heading1"/>
        <w:pBdr>
          <w:bottom w:val="single" w:color="4F46E5" w:sz="8" w:space="4"/>
        </w:pBdr>
        <w:spacing w:after="160" w:before="360"/>
      </w:pPr>
      <w:r>
        <w:rPr>
          <w:rFonts w:ascii="Calibri" w:cs="Calibri" w:eastAsia="Calibri" w:hAnsi="Calibri"/>
          <w:b/>
          <w:bCs/>
          <w:color w:val="1A1A1A"/>
          <w:sz w:val="30"/>
          <w:szCs w:val="30"/>
        </w:rPr>
        <w:t xml:space="preserve">Explanation agent (grounded AI, opt-in)</w:t>
      </w:r>
    </w:p>
    <w:p>
      <w:pPr>
        <w:spacing w:after="160" w:line="300"/>
      </w:pPr>
      <w:r>
        <w:rPr>
          <w:rFonts w:ascii="Calibri" w:cs="Calibri" w:eastAsia="Calibri" w:hAnsi="Calibri"/>
          <w:color w:val="1A1A1A"/>
          <w:sz w:val="21"/>
          <w:szCs w:val="21"/>
        </w:rPr>
        <w:t xml:space="preserve">When a bill is flagged, the system can — on request only — generate a plain-language explanation of </w:t>
      </w:r>
      <w:r>
        <w:rPr>
          <w:rFonts w:ascii="Calibri" w:cs="Calibri" w:eastAsia="Calibri" w:hAnsi="Calibri"/>
          <w:i/>
          <w:iCs/>
          <w:color w:val="666666"/>
          <w:sz w:val="21"/>
          <w:szCs w:val="21"/>
        </w:rPr>
        <w:t xml:space="preserve">why</w:t>
      </w:r>
      <w:r>
        <w:rPr>
          <w:rFonts w:ascii="Calibri" w:cs="Calibri" w:eastAsia="Calibri" w:hAnsi="Calibri"/>
          <w:color w:val="1A1A1A"/>
          <w:sz w:val="21"/>
          <w:szCs w:val="21"/>
        </w:rPr>
        <w:t xml:space="preserve">. This uses a retrieval-augmented generation (RAG) pipeline: the exact rule text the bill actually violated is retrieved from a local vector store, and a hosted language model is asked to turn </w:t>
      </w:r>
      <w:r>
        <w:rPr>
          <w:rFonts w:ascii="Calibri" w:cs="Calibri" w:eastAsia="Calibri" w:hAnsi="Calibri"/>
          <w:i/>
          <w:iCs/>
          <w:color w:val="666666"/>
          <w:sz w:val="21"/>
          <w:szCs w:val="21"/>
        </w:rPr>
        <w:t xml:space="preserve">that specific, already-confirmed fact</w:t>
      </w:r>
      <w:r>
        <w:rPr>
          <w:rFonts w:ascii="Calibri" w:cs="Calibri" w:eastAsia="Calibri" w:hAnsi="Calibri"/>
          <w:color w:val="1A1A1A"/>
          <w:sz w:val="21"/>
          <w:szCs w:val="21"/>
        </w:rPr>
        <w:t xml:space="preserve"> into readable language — it is never asked to recall or guess coding rules from its own general knowledge.</w:t>
      </w:r>
    </w:p>
    <w:p>
      <w:pPr>
        <w:spacing w:after="160" w:line="300"/>
      </w:pPr>
      <w:r>
        <w:rPr>
          <w:rFonts w:ascii="Calibri" w:cs="Calibri" w:eastAsia="Calibri" w:hAnsi="Calibri"/>
          <w:color w:val="1A1A1A"/>
          <w:sz w:val="21"/>
          <w:szCs w:val="21"/>
        </w:rPr>
        <w:t xml:space="preserve">Two different retrieval strategies are used depending on the check:</w:t>
      </w:r>
    </w:p>
    <w:p>
      <w:pPr>
        <w:pStyle w:val="ListParagraph"/>
        <w:numPr>
          <w:ilvl w:val="0"/>
          <w:numId w:val="3"/>
        </w:numPr>
        <w:spacing w:after="80" w:line="280"/>
      </w:pPr>
      <w:r>
        <w:rPr>
          <w:rFonts w:ascii="Calibri" w:cs="Calibri" w:eastAsia="Calibri" w:hAnsi="Calibri"/>
          <w:b/>
          <w:bCs/>
          <w:color w:val="1A1A1A"/>
          <w:sz w:val="21"/>
          <w:szCs w:val="21"/>
        </w:rPr>
        <w:t xml:space="preserve">Unbundling / fragmented billing — </w:t>
      </w:r>
      <w:r>
        <w:rPr>
          <w:rFonts w:ascii="Calibri" w:cs="Calibri" w:eastAsia="Calibri" w:hAnsi="Calibri"/>
          <w:color w:val="1A1A1A"/>
          <w:sz w:val="21"/>
          <w:szCs w:val="21"/>
        </w:rPr>
        <w:t xml:space="preserve">the exact rule is already known from the deterministic rule-checker, so retrieval is an exact metadata lookup, not a similarity guess.</w:t>
      </w:r>
    </w:p>
    <w:p>
      <w:pPr>
        <w:pStyle w:val="ListParagraph"/>
        <w:numPr>
          <w:ilvl w:val="0"/>
          <w:numId w:val="3"/>
        </w:numPr>
        <w:spacing w:after="80" w:line="280"/>
      </w:pPr>
      <w:r>
        <w:rPr>
          <w:rFonts w:ascii="Calibri" w:cs="Calibri" w:eastAsia="Calibri" w:hAnsi="Calibri"/>
          <w:b/>
          <w:bCs/>
          <w:color w:val="1A1A1A"/>
          <w:sz w:val="21"/>
          <w:szCs w:val="21"/>
        </w:rPr>
        <w:t xml:space="preserve">Causality mismatch / upcoding — </w:t>
      </w:r>
      <w:r>
        <w:rPr>
          <w:rFonts w:ascii="Calibri" w:cs="Calibri" w:eastAsia="Calibri" w:hAnsi="Calibri"/>
          <w:color w:val="1A1A1A"/>
          <w:sz w:val="21"/>
          <w:szCs w:val="21"/>
        </w:rPr>
        <w:t xml:space="preserve">there’s no per-code reference table for these (they’re this project’s own derived rules), so retrieval uses semantic similarity search over hand-written concept documents — verified in a real run to correctly rank the right concept first for both checks.</w:t>
      </w:r>
    </w:p>
    <w:p>
      <w:pPr>
        <w:spacing w:after="160" w:line="300"/>
      </w:pPr>
      <w:r>
        <w:rPr>
          <w:rFonts w:ascii="Calibri" w:cs="Calibri" w:eastAsia="Calibri" w:hAnsi="Calibri"/>
          <w:color w:val="1A1A1A"/>
          <w:sz w:val="21"/>
          <w:szCs w:val="21"/>
        </w:rPr>
        <w:t xml:space="preserve">This has been run end to end for real: real local embeddings (FastEmbed, no API cost), real retrieval against the real corpus, and real generation via an Azure OpenAI deployment. Every explanation produced stayed grounded in the retrieved rule text and the bill’s own facts, with no invented codes and no outside-knowledge claims. Generation is the only part of the whole system with a real per-call cost, which is why it is strictly opt-in — nothing calls the hosted model automatically just because a bill was flagged.</w:t>
      </w:r>
    </w:p>
    <w:p>
      <w:pPr>
        <w:pStyle w:val="Heading1"/>
        <w:pBdr>
          <w:bottom w:val="single" w:color="4F46E5" w:sz="8" w:space="4"/>
        </w:pBdr>
        <w:spacing w:after="160" w:before="360"/>
      </w:pPr>
      <w:r>
        <w:rPr>
          <w:rFonts w:ascii="Calibri" w:cs="Calibri" w:eastAsia="Calibri" w:hAnsi="Calibri"/>
          <w:b/>
          <w:bCs/>
          <w:color w:val="1A1A1A"/>
          <w:sz w:val="30"/>
          <w:szCs w:val="30"/>
        </w:rPr>
        <w:t xml:space="preserve">Drift monitoring &amp; the retraining safety net</w:t>
      </w:r>
    </w:p>
    <w:p>
      <w:pPr>
        <w:spacing w:after="160" w:line="300"/>
      </w:pPr>
      <w:r>
        <w:rPr>
          <w:rFonts w:ascii="Calibri" w:cs="Calibri" w:eastAsia="Calibri" w:hAnsi="Calibri"/>
          <w:color w:val="1A1A1A"/>
          <w:sz w:val="21"/>
          <w:szCs w:val="21"/>
        </w:rPr>
        <w:t xml:space="preserve">Every rule table this system checks bills against — CPT/HCPCS, ICD-10-CM, NCCI edits, MUE caps — is revised by CMS/AMA on a fixed public schedule (quarterly to annually). A model trained against last year’s rules doesn’t fail loudly when the rules change; it quietly starts scoring bills against a world that no longer matches reality. This is why the project includes a drift-detection and retraining-trigger pipeline, not just a one-time trained model.</w:t>
      </w:r>
    </w:p>
    <w:p>
      <w:pPr>
        <w:spacing w:after="160" w:line="300"/>
      </w:pPr>
      <w:r>
        <w:rPr>
          <w:rFonts w:ascii="Calibri" w:cs="Calibri" w:eastAsia="Calibri" w:hAnsi="Calibri"/>
          <w:color w:val="1A1A1A"/>
          <w:sz w:val="21"/>
          <w:szCs w:val="21"/>
        </w:rPr>
        <w:t xml:space="preserve">To have something real to test it against, a synthetic scenario was built simulating a well-known workers’ comp pattern — claims staying open longer than they used to — and run through the drift detector: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680"/>
      </w:tblGrid>
      <w:tr>
        <w:trPr>
          <w:tblHeader/>
        </w:trPr>
        <w:tc>
          <w:tcPr>
            <w:tcW w:type="dxa" w:w="26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Feature</w:t>
            </w:r>
          </w:p>
        </w:tc>
        <w:tc>
          <w:tcPr>
            <w:tcW w:type="dxa" w:w="18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PSI score</w:t>
            </w:r>
          </w:p>
        </w:tc>
        <w:tc>
          <w:tcPr>
            <w:tcW w:type="dxa" w:w="56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Result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days_since_injury</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0.4546</w:t>
            </w:r>
          </w:p>
        </w:tc>
        <w:tc>
          <w:tcPr>
            <w:tcW w:type="dxa" w:w="568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ALERT</w:t>
            </w:r>
          </w:p>
        </w:tc>
      </w:tr>
      <w:tr>
        <w:tc>
          <w:tcPr>
            <w:tcW w:type="dxa" w:w="26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injury_stage</w:t>
            </w:r>
          </w:p>
        </w:tc>
        <w:tc>
          <w:tcPr>
            <w:tcW w:type="dxa" w:w="1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0.2372</w:t>
            </w:r>
          </w:p>
        </w:tc>
        <w:tc>
          <w:tcPr>
            <w:tcW w:type="dxa" w:w="568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ALERT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provider_specialty</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0.2107</w:t>
            </w:r>
          </w:p>
        </w:tc>
        <w:tc>
          <w:tcPr>
            <w:tcW w:type="dxa" w:w="568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ALERT (see note)</w:t>
            </w:r>
          </w:p>
        </w:tc>
      </w:tr>
      <w:tr>
        <w:tc>
          <w:tcPr>
            <w:tcW w:type="dxa" w:w="26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max_units_mue_ratio</w:t>
            </w:r>
          </w:p>
        </w:tc>
        <w:tc>
          <w:tcPr>
            <w:tcW w:type="dxa" w:w="1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0.0564</w:t>
            </w:r>
          </w:p>
        </w:tc>
        <w:tc>
          <w:tcPr>
            <w:tcW w:type="dxa" w:w="5680"/>
            <w:tcMar>
              <w:top w:type="dxa" w:w="80"/>
              <w:left w:type="dxa" w:w="100"/>
              <w:bottom w:type="dxa" w:w="80"/>
              <w:right w:type="dxa" w:w="100"/>
            </w:tcMar>
            <w:vAlign w:val="center"/>
          </w:tcPr>
          <w:p>
            <w:pPr>
              <w:jc w:val="left"/>
            </w:pPr>
            <w:r>
              <w:rPr>
                <w:rFonts w:ascii="Calibri" w:cs="Calibri" w:eastAsia="Calibri" w:hAnsi="Calibri"/>
                <w:b w:val="false"/>
                <w:bCs w:val="false"/>
                <w:color w:val="1E7A33"/>
                <w:sz w:val="19"/>
                <w:szCs w:val="19"/>
              </w:rPr>
              <w:t xml:space="preserve">OK</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All other features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&lt; 0.03</w:t>
            </w:r>
          </w:p>
        </w:tc>
        <w:tc>
          <w:tcPr>
            <w:tcW w:type="dxa" w:w="5680"/>
            <w:tcMar>
              <w:top w:type="dxa" w:w="80"/>
              <w:left w:type="dxa" w:w="100"/>
              <w:bottom w:type="dxa" w:w="80"/>
              <w:right w:type="dxa" w:w="100"/>
            </w:tcMar>
            <w:vAlign w:val="center"/>
          </w:tcPr>
          <w:p>
            <w:pPr>
              <w:jc w:val="left"/>
            </w:pPr>
            <w:r>
              <w:rPr>
                <w:rFonts w:ascii="Calibri" w:cs="Calibri" w:eastAsia="Calibri" w:hAnsi="Calibri"/>
                <w:b w:val="false"/>
                <w:bCs w:val="false"/>
                <w:color w:val="1E7A33"/>
                <w:sz w:val="19"/>
                <w:szCs w:val="19"/>
              </w:rPr>
              <w:t xml:space="preserve">OK</w:t>
            </w:r>
          </w:p>
        </w:tc>
      </w:tr>
    </w:tbl>
    <w:p>
      <w:pPr>
        <w:spacing w:after="120"/>
      </w:pPr>
    </w:p>
    <w:p>
      <w:pPr>
        <w:spacing w:after="160" w:line="300"/>
      </w:pPr>
      <w:r>
        <w:rPr>
          <w:rFonts w:ascii="Calibri" w:cs="Calibri" w:eastAsia="Calibri" w:hAnsi="Calibri"/>
          <w:color w:val="1A1A1A"/>
          <w:sz w:val="21"/>
          <w:szCs w:val="21"/>
        </w:rPr>
        <w:t xml:space="preserve">The two features the scenario was actually designed to move — </w:t>
      </w:r>
      <w:r>
        <w:rPr>
          <w:rFonts w:ascii="Calibri" w:cs="Calibri" w:eastAsia="Calibri" w:hAnsi="Calibri"/>
          <w:b/>
          <w:bCs/>
          <w:color w:val="1A1A1A"/>
          <w:sz w:val="21"/>
          <w:szCs w:val="21"/>
        </w:rPr>
        <w:t xml:space="preserve">days_since_injury</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injury_stage</w:t>
      </w:r>
      <w:r>
        <w:rPr>
          <w:rFonts w:ascii="Calibri" w:cs="Calibri" w:eastAsia="Calibri" w:hAnsi="Calibri"/>
          <w:color w:val="1A1A1A"/>
          <w:sz w:val="21"/>
          <w:szCs w:val="21"/>
        </w:rPr>
        <w:t xml:space="preserve"> — alerted clearly, more than double the alert threshold. </w:t>
      </w:r>
      <w:r>
        <w:rPr>
          <w:rFonts w:ascii="Calibri" w:cs="Calibri" w:eastAsia="Calibri" w:hAnsi="Calibri"/>
          <w:b/>
          <w:bCs/>
          <w:color w:val="1A1A1A"/>
          <w:sz w:val="21"/>
          <w:szCs w:val="21"/>
        </w:rPr>
        <w:t xml:space="preserve">provider_specialty</w:t>
      </w:r>
      <w:r>
        <w:rPr>
          <w:rFonts w:ascii="Calibri" w:cs="Calibri" w:eastAsia="Calibri" w:hAnsi="Calibri"/>
          <w:color w:val="1A1A1A"/>
          <w:sz w:val="21"/>
          <w:szCs w:val="21"/>
        </w:rPr>
        <w:t xml:space="preserve"> also alerted, and worth stating plainly rather than hiding: this is very likely sampling noise from a differently-seeded batch of providers, not a real signal — exactly the kind of false alarm a low-cardinality categorical feature can produce on a moderate sample. This is precisely why the retraining-trigger rule requires </w:t>
      </w:r>
      <w:r>
        <w:rPr>
          <w:rFonts w:ascii="Calibri" w:cs="Calibri" w:eastAsia="Calibri" w:hAnsi="Calibri"/>
          <w:b/>
          <w:bCs/>
          <w:color w:val="1A1A1A"/>
          <w:sz w:val="21"/>
          <w:szCs w:val="21"/>
        </w:rPr>
        <w:t xml:space="preserve">two or more independently-alerted features</w:t>
      </w:r>
      <w:r>
        <w:rPr>
          <w:rFonts w:ascii="Calibri" w:cs="Calibri" w:eastAsia="Calibri" w:hAnsi="Calibri"/>
          <w:color w:val="1A1A1A"/>
          <w:sz w:val="21"/>
          <w:szCs w:val="21"/>
        </w:rPr>
        <w:t xml:space="preserve">, not any single one, before recommending a retrain. In this run it still correctly crossed that bar (3 features alerted) and correctly recommended retraining — for the right reason, with the noisy feature along for the ride rather than driving the decision by itself.</w:t>
      </w:r>
    </w:p>
    <w:p>
      <w:pPr>
        <w:pStyle w:val="Heading1"/>
        <w:pBdr>
          <w:bottom w:val="single" w:color="4F46E5" w:sz="8" w:space="4"/>
        </w:pBdr>
        <w:spacing w:after="160" w:before="360"/>
      </w:pPr>
      <w:r>
        <w:rPr>
          <w:rFonts w:ascii="Calibri" w:cs="Calibri" w:eastAsia="Calibri" w:hAnsi="Calibri"/>
          <w:b/>
          <w:bCs/>
          <w:color w:val="1A1A1A"/>
          <w:sz w:val="30"/>
          <w:szCs w:val="30"/>
        </w:rPr>
        <w:t xml:space="preserve">Packaging &amp; deployment</w:t>
      </w:r>
    </w:p>
    <w:p>
      <w:pPr>
        <w:spacing w:after="160" w:line="300"/>
      </w:pPr>
      <w:r>
        <w:rPr>
          <w:rFonts w:ascii="Calibri" w:cs="Calibri" w:eastAsia="Calibri" w:hAnsi="Calibri"/>
          <w:color w:val="1A1A1A"/>
          <w:sz w:val="21"/>
          <w:szCs w:val="21"/>
        </w:rPr>
        <w:t xml:space="preserve">The entire system — trained model, vector store, code, and dependencies — is packaged as a </w:t>
      </w:r>
      <w:r>
        <w:rPr>
          <w:rFonts w:ascii="Calibri" w:cs="Calibri" w:eastAsia="Calibri" w:hAnsi="Calibri"/>
          <w:b/>
          <w:bCs/>
          <w:color w:val="1A1A1A"/>
          <w:sz w:val="21"/>
          <w:szCs w:val="21"/>
        </w:rPr>
        <w:t xml:space="preserve">Docker image</w:t>
      </w:r>
      <w:r>
        <w:rPr>
          <w:rFonts w:ascii="Calibri" w:cs="Calibri" w:eastAsia="Calibri" w:hAnsi="Calibri"/>
          <w:color w:val="1A1A1A"/>
          <w:sz w:val="21"/>
          <w:szCs w:val="21"/>
        </w:rPr>
        <w:t xml:space="preserve"> that runs identically on any machine with no manual Python environment setup. Real credentials (the Azure OpenAI key) are never baked into the image; they’re supplied only at container-run time, so the image itself stays safe to share. This has been built and run successfully as a real container, including the full explanation-generation feature working inside it.</w:t>
      </w:r>
    </w:p>
    <w:p>
      <w:pPr>
        <w:spacing w:after="160" w:line="300"/>
      </w:pPr>
      <w:r>
        <w:rPr>
          <w:rFonts w:ascii="Calibri" w:cs="Calibri" w:eastAsia="Calibri" w:hAnsi="Calibri"/>
          <w:b/>
          <w:bCs/>
          <w:color w:val="1A1A1A"/>
          <w:sz w:val="21"/>
          <w:szCs w:val="21"/>
        </w:rPr>
        <w:t xml:space="preserve">What’s not done: </w:t>
      </w:r>
      <w:r>
        <w:rPr>
          <w:rFonts w:ascii="Calibri" w:cs="Calibri" w:eastAsia="Calibri" w:hAnsi="Calibri"/>
          <w:color w:val="1A1A1A"/>
          <w:sz w:val="21"/>
          <w:szCs w:val="21"/>
        </w:rPr>
        <w:t xml:space="preserve">cloud (Azure) deployment of that container. The image runs correctly locally; it has not been pushed to a cloud registry or stood up as a hosted, internet-reachable service. This is called out explicitly in the project status below rather than implied as complete.</w:t>
      </w:r>
    </w:p>
    <w:p>
      <w:pPr>
        <w:pStyle w:val="Heading1"/>
        <w:pBdr>
          <w:bottom w:val="single" w:color="4F46E5" w:sz="8" w:space="4"/>
        </w:pBdr>
        <w:spacing w:after="160" w:before="360"/>
      </w:pPr>
      <w:r>
        <w:rPr>
          <w:rFonts w:ascii="Calibri" w:cs="Calibri" w:eastAsia="Calibri" w:hAnsi="Calibri"/>
          <w:b/>
          <w:bCs/>
          <w:color w:val="1A1A1A"/>
          <w:sz w:val="30"/>
          <w:szCs w:val="30"/>
        </w:rPr>
        <w:t xml:space="preserve">Data &amp; scope</w:t>
      </w:r>
    </w:p>
    <w:p>
      <w:pPr>
        <w:spacing w:after="160" w:line="300"/>
      </w:pPr>
      <w:r>
        <w:rPr>
          <w:rFonts w:ascii="Calibri" w:cs="Calibri" w:eastAsia="Calibri" w:hAnsi="Calibri"/>
          <w:b/>
          <w:bCs/>
          <w:color w:val="1A1A1A"/>
          <w:sz w:val="21"/>
          <w:szCs w:val="21"/>
        </w:rPr>
        <w:t xml:space="preserve">Everything patient-, provider-, and claim-specific in this project is invented. </w:t>
      </w:r>
      <w:r>
        <w:rPr>
          <w:rFonts w:ascii="Calibri" w:cs="Calibri" w:eastAsia="Calibri" w:hAnsi="Calibri"/>
          <w:color w:val="1A1A1A"/>
          <w:sz w:val="21"/>
          <w:szCs w:val="21"/>
        </w:rPr>
        <w:t xml:space="preserve">No real bills, patients, or providers appear anywhere. What </w:t>
      </w:r>
      <w:r>
        <w:rPr>
          <w:rFonts w:ascii="Calibri" w:cs="Calibri" w:eastAsia="Calibri" w:hAnsi="Calibri"/>
          <w:i/>
          <w:iCs/>
          <w:color w:val="666666"/>
          <w:sz w:val="21"/>
          <w:szCs w:val="21"/>
        </w:rPr>
        <w:t xml:space="preserve">is</w:t>
      </w:r>
      <w:r>
        <w:rPr>
          <w:rFonts w:ascii="Calibri" w:cs="Calibri" w:eastAsia="Calibri" w:hAnsi="Calibri"/>
          <w:color w:val="1A1A1A"/>
          <w:sz w:val="21"/>
          <w:szCs w:val="21"/>
        </w:rPr>
        <w:t xml:space="preserve"> real: the CPT/HCPCS procedure codes, ICD-10-CM diagnosis codes, NCCI “don’t bill together” pairs, and CMS per-day billing caps (MUE tables) are the genuine, publicly published coding rules. Synthetic bills were generated to realistically obey (or deliberately break) those real rules, which is what makes the practice data useful for testing something meant to catch real patterns — without using any real, private data to do it.</w:t>
      </w:r>
    </w:p>
    <w:p>
      <w:pPr>
        <w:spacing w:after="160" w:line="300"/>
      </w:pPr>
      <w:r>
        <w:rPr>
          <w:rFonts w:ascii="Calibri" w:cs="Calibri" w:eastAsia="Calibri" w:hAnsi="Calibri"/>
          <w:color w:val="1A1A1A"/>
          <w:sz w:val="21"/>
          <w:szCs w:val="21"/>
        </w:rPr>
        <w:t xml:space="preserve">Scope choices made deliberately, and documented rather than hidden:</w:t>
      </w:r>
    </w:p>
    <w:p>
      <w:pPr>
        <w:pStyle w:val="ListParagraph"/>
        <w:numPr>
          <w:ilvl w:val="0"/>
          <w:numId w:val="3"/>
        </w:numPr>
        <w:spacing w:after="80" w:line="280"/>
      </w:pPr>
      <w:r>
        <w:rPr>
          <w:rFonts w:ascii="Calibri" w:cs="Calibri" w:eastAsia="Calibri" w:hAnsi="Calibri"/>
          <w:color w:val="1A1A1A"/>
          <w:sz w:val="21"/>
          <w:szCs w:val="21"/>
        </w:rPr>
        <w:t xml:space="preserve">The reference tables use 44 CPT/HCPCS codes and 21 ICD-10-CM codes across 9 body regions — a curated subset, not the full real code universe (which runs to roughly 10,000+ and 70,000+ codes respectively).</w:t>
      </w:r>
    </w:p>
    <w:p>
      <w:pPr>
        <w:pStyle w:val="ListParagraph"/>
        <w:numPr>
          <w:ilvl w:val="0"/>
          <w:numId w:val="3"/>
        </w:numPr>
        <w:spacing w:after="80" w:line="280"/>
      </w:pPr>
      <w:r>
        <w:rPr>
          <w:rFonts w:ascii="Calibri" w:cs="Calibri" w:eastAsia="Calibri" w:hAnsi="Calibri"/>
          <w:color w:val="1A1A1A"/>
          <w:sz w:val="21"/>
          <w:szCs w:val="21"/>
        </w:rPr>
        <w:t xml:space="preserve">12 NCCI edit pairs are used: 5 are real, documented pairs, and 7 are illustrative constructions in the same style, since the full real edit-pair table wasn’t accessible from the build environment.</w:t>
      </w:r>
    </w:p>
    <w:p>
      <w:pPr>
        <w:pStyle w:val="ListParagraph"/>
        <w:numPr>
          <w:ilvl w:val="0"/>
          <w:numId w:val="3"/>
        </w:numPr>
        <w:spacing w:after="80" w:line="280"/>
      </w:pPr>
      <w:r>
        <w:rPr>
          <w:rFonts w:ascii="Calibri" w:cs="Calibri" w:eastAsia="Calibri" w:hAnsi="Calibri"/>
          <w:color w:val="1A1A1A"/>
          <w:sz w:val="21"/>
          <w:szCs w:val="21"/>
        </w:rPr>
        <w:t xml:space="preserve">Each anomalous bill is built to trip exactly one violation type; real bills can plausibly have more than one problem at once. Multi-label scoring (see below) was chosen specifically so this is a data-generation limitation, not an architecture one — no model redesign would be needed to add multi-violation bills later.</w:t>
      </w:r>
    </w:p>
    <w:p>
      <w:pPr>
        <w:pStyle w:val="ListParagraph"/>
        <w:numPr>
          <w:ilvl w:val="0"/>
          <w:numId w:val="3"/>
        </w:numPr>
        <w:spacing w:after="80" w:line="280"/>
      </w:pPr>
      <w:r>
        <w:rPr>
          <w:rFonts w:ascii="Calibri" w:cs="Calibri" w:eastAsia="Calibri" w:hAnsi="Calibri"/>
          <w:color w:val="1A1A1A"/>
          <w:sz w:val="21"/>
          <w:szCs w:val="21"/>
        </w:rPr>
        <w:t xml:space="preserve">Billed dollar amounts are entirely synthetic and not modeled on any real fee schedule.</w:t>
      </w:r>
    </w:p>
    <w:p>
      <w:pPr>
        <w:pStyle w:val="Heading1"/>
        <w:pBdr>
          <w:bottom w:val="single" w:color="4F46E5" w:sz="8" w:space="4"/>
        </w:pBdr>
        <w:spacing w:after="160" w:before="360"/>
      </w:pPr>
      <w:r>
        <w:rPr>
          <w:rFonts w:ascii="Calibri" w:cs="Calibri" w:eastAsia="Calibri" w:hAnsi="Calibri"/>
          <w:b/>
          <w:bCs/>
          <w:color w:val="1A1A1A"/>
          <w:sz w:val="30"/>
          <w:szCs w:val="30"/>
        </w:rPr>
        <w:t xml:space="preserve">Two design choices worth calling out</w:t>
      </w:r>
    </w:p>
    <w:p>
      <w:pPr>
        <w:pStyle w:val="Heading3"/>
        <w:spacing w:after="80" w:before="200"/>
      </w:pPr>
      <w:r>
        <w:rPr>
          <w:rFonts w:ascii="Calibri" w:cs="Calibri" w:eastAsia="Calibri" w:hAnsi="Calibri"/>
          <w:b/>
          <w:bCs/>
          <w:color w:val="1A1A1A"/>
          <w:sz w:val="21"/>
          <w:szCs w:val="21"/>
        </w:rPr>
        <w:t xml:space="preserve">Why four independent classifiers instead of one flag</w:t>
      </w:r>
    </w:p>
    <w:p>
      <w:pPr>
        <w:spacing w:after="160" w:line="300"/>
      </w:pPr>
      <w:r>
        <w:rPr>
          <w:rFonts w:ascii="Calibri" w:cs="Calibri" w:eastAsia="Calibri" w:hAnsi="Calibri"/>
          <w:color w:val="1A1A1A"/>
          <w:sz w:val="21"/>
          <w:szCs w:val="21"/>
        </w:rPr>
        <w:t xml:space="preserve">A reviewer who opens a flagged bill needs to know </w:t>
      </w:r>
      <w:r>
        <w:rPr>
          <w:rFonts w:ascii="Calibri" w:cs="Calibri" w:eastAsia="Calibri" w:hAnsi="Calibri"/>
          <w:i/>
          <w:iCs/>
          <w:color w:val="666666"/>
          <w:sz w:val="21"/>
          <w:szCs w:val="21"/>
        </w:rPr>
        <w:t xml:space="preserve">what</w:t>
      </w:r>
      <w:r>
        <w:rPr>
          <w:rFonts w:ascii="Calibri" w:cs="Calibri" w:eastAsia="Calibri" w:hAnsi="Calibri"/>
          <w:color w:val="1A1A1A"/>
          <w:sz w:val="21"/>
          <w:szCs w:val="21"/>
        </w:rPr>
        <w:t xml:space="preserve"> to check, not just that something’s off — unbundling is a modifier/coding question, causality mismatch is a clinical-relevance question, upcoding is a documentation-audit question, and they route to different review workflows. Four independent binary classifiers (rather than a single 5-way model) were chosen specifically so the system isn’t limited to “exactly one problem per bill” the way the current synthetic data happens to be — a bill could in principle be flagged for more than one issue at once, with no architecture change needed.</w:t>
      </w:r>
    </w:p>
    <w:p>
      <w:pPr>
        <w:pStyle w:val="Heading3"/>
        <w:spacing w:after="80" w:before="200"/>
      </w:pPr>
      <w:r>
        <w:rPr>
          <w:rFonts w:ascii="Calibri" w:cs="Calibri" w:eastAsia="Calibri" w:hAnsi="Calibri"/>
          <w:b/>
          <w:bCs/>
          <w:color w:val="1A1A1A"/>
          <w:sz w:val="21"/>
          <w:szCs w:val="21"/>
        </w:rPr>
        <w:t xml:space="preserve">Why the AI explanation step is grounded, not free-form</w:t>
      </w:r>
    </w:p>
    <w:p>
      <w:pPr>
        <w:spacing w:after="160" w:line="300"/>
      </w:pPr>
      <w:r>
        <w:rPr>
          <w:rFonts w:ascii="Calibri" w:cs="Calibri" w:eastAsia="Calibri" w:hAnsi="Calibri"/>
          <w:color w:val="1A1A1A"/>
          <w:sz w:val="21"/>
          <w:szCs w:val="21"/>
        </w:rPr>
        <w:t xml:space="preserve">Language models can sound confident while being wrong, and this project’s reference tables are a curated subset rather than the full real code universe — so a model asked to explain a violation from its own general knowledge could easily cite a real-sounding rule that isn’t actually the one this system checked. Instead, a deterministic rule-checker first confirms the exact fact, and the language model is only asked to phrase </w:t>
      </w:r>
      <w:r>
        <w:rPr>
          <w:rFonts w:ascii="Calibri" w:cs="Calibri" w:eastAsia="Calibri" w:hAnsi="Calibri"/>
          <w:i/>
          <w:iCs/>
          <w:color w:val="666666"/>
          <w:sz w:val="21"/>
          <w:szCs w:val="21"/>
        </w:rPr>
        <w:t xml:space="preserve">that already-confirmed fact</w:t>
      </w:r>
      <w:r>
        <w:rPr>
          <w:rFonts w:ascii="Calibri" w:cs="Calibri" w:eastAsia="Calibri" w:hAnsi="Calibri"/>
          <w:color w:val="1A1A1A"/>
          <w:sz w:val="21"/>
          <w:szCs w:val="21"/>
        </w:rPr>
        <w:t xml:space="preserve"> in plain language. If the rule-checker can’t confirm a violation the model flagged, the system says so honestly instead of generating an explanation for something that may not have actually happened.</w:t>
      </w:r>
    </w:p>
    <w:p>
      <w:pPr>
        <w:pStyle w:val="Heading1"/>
        <w:pBdr>
          <w:bottom w:val="single" w:color="4F46E5" w:sz="8" w:space="4"/>
        </w:pBdr>
        <w:spacing w:after="160" w:before="360"/>
      </w:pPr>
      <w:r>
        <w:rPr>
          <w:rFonts w:ascii="Calibri" w:cs="Calibri" w:eastAsia="Calibri" w:hAnsi="Calibri"/>
          <w:b/>
          <w:bCs/>
          <w:color w:val="1A1A1A"/>
          <w:sz w:val="30"/>
          <w:szCs w:val="30"/>
        </w:rPr>
        <w:t xml:space="preserve">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Component</w:t>
            </w:r>
          </w:p>
        </w:tc>
        <w:tc>
          <w:tcPr>
            <w:tcW w:type="dxa" w:w="24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Tool</w:t>
            </w:r>
          </w:p>
        </w:tc>
        <w:tc>
          <w:tcPr>
            <w:tcW w:type="dxa" w:w="54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Why</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Language / data handling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Python, pandas, NumPy</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Standard, well-tested foundation for data science work.</w:t>
            </w:r>
          </w:p>
        </w:tc>
      </w:tr>
      <w:tr>
        <w:tc>
          <w:tcPr>
            <w:tcW w:type="dxa" w:w="22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Modeling</w:t>
            </w:r>
          </w:p>
        </w:tc>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scikit-learn, XGBoost</w:t>
            </w:r>
          </w:p>
        </w:tc>
        <w:tc>
          <w:tcPr>
            <w:tcW w:type="dxa" w:w="54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XGBoost is a strong, fast performer on this kind of structured tabular data; scikit-learn supplies the standard evaluation and multi-label tooling around it.</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Experiment tracking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MLflow (SQLite-backed)</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Every training run’s settings and scores are recorded and comparable, with no separate server to run.</w:t>
            </w:r>
          </w:p>
        </w:tc>
      </w:tr>
      <w:tr>
        <w:tc>
          <w:tcPr>
            <w:tcW w:type="dxa" w:w="22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Reference data</w:t>
            </w:r>
          </w:p>
        </w:tc>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SQLite</w:t>
            </w:r>
          </w:p>
        </w:tc>
        <w:tc>
          <w:tcPr>
            <w:tcW w:type="dxa" w:w="54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Zero-setup, single-file storage for the coding-rule reference tables.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Explanation orchestration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LangChain</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Handles the retrieval + prompting plumbing between the vector store and the language model.</w:t>
            </w:r>
          </w:p>
        </w:tc>
      </w:tr>
      <w:tr>
        <w:tc>
          <w:tcPr>
            <w:tcW w:type="dxa" w:w="22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Vector search</w:t>
            </w:r>
          </w:p>
        </w:tc>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Chroma</w:t>
            </w:r>
          </w:p>
        </w:tc>
        <w:tc>
          <w:tcPr>
            <w:tcW w:type="dxa" w:w="54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Finds the rule whose meaning best matches a situation, for the two checks with no exact per-code lookup.</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Embeddings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FastEmbed (local)</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Runs on-machine at no per-call cost — appropriate since the rule set barely ever changes and gets indexed once.</w:t>
            </w:r>
          </w:p>
        </w:tc>
      </w:tr>
      <w:tr>
        <w:tc>
          <w:tcPr>
            <w:tcW w:type="dxa" w:w="22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Explanation generation</w:t>
            </w:r>
          </w:p>
        </w:tc>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Azure OpenAI</w:t>
            </w:r>
          </w:p>
        </w:tc>
        <w:tc>
          <w:tcPr>
            <w:tcW w:type="dxa" w:w="54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The one step that genuinely benefits from a strong general-purpose language model’s fluency, not a lookup.</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Web service</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FastAPI, Uvicorn</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Fast, modern, and auto-generates interactive API documentation for easy testing and demos.</w:t>
            </w:r>
          </w:p>
        </w:tc>
      </w:tr>
      <w:tr>
        <w:tc>
          <w:tcPr>
            <w:tcW w:type="dxa" w:w="22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Front end</w:t>
            </w:r>
          </w:p>
        </w:tc>
        <w:tc>
          <w:tcPr>
            <w:tcW w:type="dxa" w:w="24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Plain HTML/CSS/JavaScript</w:t>
            </w:r>
          </w:p>
        </w:tc>
        <w:tc>
          <w:tcPr>
            <w:tcW w:type="dxa" w:w="548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The UI is simple enough that a full framework would be overkill for a single self-contained page.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Packaging</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Docker</w:t>
            </w:r>
          </w:p>
        </w:tc>
        <w:tc>
          <w:tcPr>
            <w:tcW w:type="dxa" w:w="548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Packages code, model, and dependencies into one unit that runs identically anywhere.</w:t>
            </w:r>
          </w:p>
        </w:tc>
      </w:tr>
    </w:tbl>
    <w:p>
      <w:pPr>
        <w:pStyle w:val="Heading1"/>
        <w:pBdr>
          <w:bottom w:val="single" w:color="4F46E5" w:sz="8" w:space="4"/>
        </w:pBdr>
        <w:spacing w:after="160" w:before="360"/>
      </w:pPr>
      <w:r>
        <w:rPr>
          <w:rFonts w:ascii="Calibri" w:cs="Calibri" w:eastAsia="Calibri" w:hAnsi="Calibri"/>
          <w:b/>
          <w:bCs/>
          <w:color w:val="1A1A1A"/>
          <w:sz w:val="30"/>
          <w:szCs w:val="30"/>
        </w:rPr>
        <w:t xml:space="preserve">Status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rPr>
          <w:tblHeader/>
        </w:trPr>
        <w:tc>
          <w:tcPr>
            <w:tcW w:type="dxa" w:w="480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Milestone</w:t>
            </w:r>
          </w:p>
        </w:tc>
        <w:tc>
          <w:tcPr>
            <w:tcW w:type="dxa" w:w="5280"/>
            <w:shd w:fill="4F46E5" w:color="auto"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Status</w:t>
            </w:r>
          </w:p>
        </w:tc>
      </w:tr>
      <w:tr>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1 — Reference rule engine + synthetic bill generator</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1E7A33"/>
                <w:sz w:val="19"/>
                <w:szCs w:val="19"/>
              </w:rPr>
              <w:t xml:space="preserve">Complete</w:t>
            </w:r>
          </w:p>
        </w:tc>
      </w:tr>
      <w:tr>
        <w:tc>
          <w:tcPr>
            <w:tcW w:type="dxa" w:w="4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2 — Feature engineering + anomaly detection models</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1E7A33"/>
                <w:sz w:val="19"/>
                <w:szCs w:val="19"/>
              </w:rPr>
              <w:t xml:space="preserve">Complete</w:t>
            </w:r>
          </w:p>
        </w:tc>
      </w:tr>
      <w:tr>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3 — MLflow registry + drift detection</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1E7A33"/>
                <w:sz w:val="19"/>
                <w:szCs w:val="19"/>
              </w:rPr>
              <w:t xml:space="preserve">Complete</w:t>
            </w:r>
          </w:p>
        </w:tc>
      </w:tr>
      <w:tr>
        <w:tc>
          <w:tcPr>
            <w:tcW w:type="dxa" w:w="4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4 — RAG explanation agent</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1E7A33"/>
                <w:sz w:val="19"/>
                <w:szCs w:val="19"/>
              </w:rPr>
              <w:t xml:space="preserve">Complete</w:t>
            </w:r>
          </w:p>
        </w:tc>
      </w:tr>
      <w:tr>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5 — Fine-tuned narrative generator</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Deliberately cut (see note)</w:t>
            </w:r>
          </w:p>
        </w:tc>
      </w:tr>
      <w:tr>
        <w:tc>
          <w:tcPr>
            <w:tcW w:type="dxa" w:w="4800"/>
            <w:shd w:fill="F8F8FB"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6 — FastAPI service + Docker packaging</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1E7A33"/>
                <w:sz w:val="19"/>
                <w:szCs w:val="19"/>
              </w:rPr>
              <w:t xml:space="preserve">Complete</w:t>
            </w:r>
          </w:p>
        </w:tc>
      </w:tr>
      <w:tr>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1A1A1A"/>
                <w:sz w:val="19"/>
                <w:szCs w:val="19"/>
              </w:rPr>
              <w:t xml:space="preserve">Week 6 — Cloud (Azure) deployment</w:t>
            </w:r>
          </w:p>
        </w:tc>
        <w:tc>
          <w:tcPr>
            <w:tcW w:type="dxa" w:w="5280"/>
            <w:tcMar>
              <w:top w:type="dxa" w:w="80"/>
              <w:left w:type="dxa" w:w="100"/>
              <w:bottom w:type="dxa" w:w="80"/>
              <w:right w:type="dxa" w:w="100"/>
            </w:tcMar>
            <w:vAlign w:val="center"/>
          </w:tcPr>
          <w:p>
            <w:pPr>
              <w:jc w:val="left"/>
            </w:pPr>
            <w:r>
              <w:rPr>
                <w:rFonts w:ascii="Calibri" w:cs="Calibri" w:eastAsia="Calibri" w:hAnsi="Calibri"/>
                <w:b/>
                <w:bCs/>
                <w:color w:val="B3282D"/>
                <w:sz w:val="19"/>
                <w:szCs w:val="19"/>
              </w:rPr>
              <w:t xml:space="preserve">Not done</w:t>
            </w:r>
          </w:p>
        </w:tc>
      </w:tr>
    </w:tbl>
    <w:p>
      <w:pPr>
        <w:spacing w:after="120"/>
      </w:pPr>
    </w:p>
    <w:p>
      <w:pPr>
        <w:spacing w:after="160" w:line="300"/>
      </w:pPr>
      <w:r>
        <w:rPr>
          <w:rFonts w:ascii="Calibri" w:cs="Calibri" w:eastAsia="Calibri" w:hAnsi="Calibri"/>
          <w:b/>
          <w:bCs/>
          <w:color w:val="1A1A1A"/>
          <w:sz w:val="21"/>
          <w:szCs w:val="21"/>
        </w:rPr>
        <w:t xml:space="preserve">Note on Week 5: </w:t>
      </w:r>
      <w:r>
        <w:rPr>
          <w:rFonts w:ascii="Calibri" w:cs="Calibri" w:eastAsia="Calibri" w:hAnsi="Calibri"/>
          <w:color w:val="1A1A1A"/>
          <w:sz w:val="21"/>
          <w:szCs w:val="21"/>
        </w:rPr>
        <w:t xml:space="preserve">scoped as a fine-tuned, multi-violation case-narrative generator. Not built — fine-tuning on Azure OpenAI carries real training-job and ongoing hourly hosting costs, and the models currently supporting fine-tuning would have required a second deployment resource separate from the one already in use for Week 4. This was a deliberate cost/scope decision, not a technical limitation; the RAG explainer built in Week 4 (retrieval + prompting) serves the same explanatory purpose without that added cost.</w:t>
      </w:r>
    </w:p>
    <w:p>
      <w:pPr>
        <w:pStyle w:val="Heading1"/>
        <w:pBdr>
          <w:bottom w:val="single" w:color="4F46E5" w:sz="8" w:space="4"/>
        </w:pBdr>
        <w:spacing w:after="160" w:before="360"/>
      </w:pPr>
      <w:r>
        <w:rPr>
          <w:rFonts w:ascii="Calibri" w:cs="Calibri" w:eastAsia="Calibri" w:hAnsi="Calibri"/>
          <w:b/>
          <w:bCs/>
          <w:color w:val="1A1A1A"/>
          <w:sz w:val="30"/>
          <w:szCs w:val="30"/>
        </w:rPr>
        <w:t xml:space="preserve">Closing note</w:t>
      </w:r>
    </w:p>
    <w:p>
      <w:pPr>
        <w:spacing w:after="160" w:line="300"/>
      </w:pPr>
      <w:r>
        <w:rPr>
          <w:rFonts w:ascii="Calibri" w:cs="Calibri" w:eastAsia="Calibri" w:hAnsi="Calibri"/>
          <w:color w:val="1A1A1A"/>
          <w:sz w:val="21"/>
          <w:szCs w:val="21"/>
        </w:rPr>
        <w:t xml:space="preserve">Every number in this report — the evaluation scores, the drift-detection results, the threshold tradeoffs — comes from a real, reproducible run of the code in this repository (fixed random seeds; the same commands produce the same numbers every time). Nothing here is an estimate or a projection. The intent of this update is to give an accurate picture of a finished piece of work, including the parts that don’t yet work perfectly, rather than to present a more polished story than the results support.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2026-09-09T18:44:16.436Z</dcterms:created>
  <dcterms:modified xsi:type="dcterms:W3CDTF">2026-09-09T18:44:16.451Z</dcterms:modified>
</cp:coreProperties>
</file>

<file path=docProps/custom.xml><?xml version="1.0" encoding="utf-8"?>
<Properties xmlns="http://schemas.openxmlformats.org/officeDocument/2006/custom-properties" xmlns:vt="http://schemas.openxmlformats.org/officeDocument/2006/docPropsVTypes"/>
</file>