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6FB36">
      <w:pPr>
        <w:pStyle w:val="2"/>
        <w:rPr>
          <w:color w:val="auto"/>
        </w:rPr>
      </w:pPr>
      <w:bookmarkStart w:id="0" w:name="智慧能源管理平台-软件需求规格说明书srs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软件需求规格说明书（SRS）</w:t>
      </w:r>
    </w:p>
    <w:tbl>
      <w:tblPr>
        <w:tblStyle w:val="41"/>
        <w:tblW w:w="7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6532"/>
      </w:tblGrid>
      <w:tr w14:paraId="1855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8" w:type="dxa"/>
            <w:vAlign w:val="center"/>
          </w:tcPr>
          <w:p w14:paraId="2CFAE703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文档属性</w:t>
            </w:r>
          </w:p>
        </w:tc>
        <w:tc>
          <w:tcPr>
            <w:tcW w:w="6532" w:type="dxa"/>
            <w:vAlign w:val="center"/>
          </w:tcPr>
          <w:p w14:paraId="588C59A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b/>
                <w:color w:val="auto"/>
              </w:rPr>
            </w:pPr>
            <w:r>
              <w:rPr>
                <w:rFonts w:hint="eastAsia"/>
                <w:b/>
                <w:color w:val="auto"/>
              </w:rPr>
              <w:t>内容</w:t>
            </w:r>
          </w:p>
        </w:tc>
      </w:tr>
      <w:tr w14:paraId="1D059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058020C9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tcPr>
            <w:tcW w:w="6532" w:type="dxa"/>
            <w:vAlign w:val="center"/>
          </w:tcPr>
          <w:p w14:paraId="31BE5EDC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智慧能源管理平台软件需求规格说明书</w:t>
            </w:r>
          </w:p>
        </w:tc>
      </w:tr>
      <w:tr w14:paraId="6547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20207A92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文档编号</w:t>
            </w:r>
          </w:p>
        </w:tc>
        <w:tc>
          <w:tcPr>
            <w:tcW w:w="6532" w:type="dxa"/>
            <w:vAlign w:val="center"/>
          </w:tcPr>
          <w:p w14:paraId="3CEFF15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SRS-01-02-V1.0</w:t>
            </w:r>
          </w:p>
        </w:tc>
      </w:tr>
      <w:tr w14:paraId="00AF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7264C016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产品名称</w:t>
            </w:r>
          </w:p>
        </w:tc>
        <w:tc>
          <w:tcPr>
            <w:tcW w:w="6532" w:type="dxa"/>
            <w:vAlign w:val="center"/>
          </w:tcPr>
          <w:p w14:paraId="4586E39A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0064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59737613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产品版本</w:t>
            </w:r>
          </w:p>
        </w:tc>
        <w:tc>
          <w:tcPr>
            <w:tcW w:w="6532" w:type="dxa"/>
            <w:vAlign w:val="center"/>
          </w:tcPr>
          <w:p w14:paraId="6CD04478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</w:t>
            </w:r>
            <w:r>
              <w:rPr>
                <w:rFonts w:hint="eastAsia"/>
                <w:color w:val="auto"/>
                <w:lang w:val="en-US" w:eastAsia="zh-CN"/>
              </w:rPr>
              <w:t>1</w:t>
            </w:r>
            <w:r>
              <w:rPr>
                <w:color w:val="auto"/>
              </w:rPr>
              <w:t>.</w:t>
            </w:r>
            <w:r>
              <w:rPr>
                <w:rFonts w:hint="eastAsia"/>
                <w:color w:val="auto"/>
                <w:lang w:val="en-US" w:eastAsia="zh-CN"/>
              </w:rPr>
              <w:t>0</w:t>
            </w:r>
            <w:r>
              <w:rPr>
                <w:color w:val="auto"/>
              </w:rPr>
              <w:t>.0</w:t>
            </w:r>
          </w:p>
        </w:tc>
      </w:tr>
      <w:tr w14:paraId="2059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0376EE3F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tcPr>
            <w:tcW w:w="6532" w:type="dxa"/>
            <w:vAlign w:val="center"/>
          </w:tcPr>
          <w:p w14:paraId="462F2D11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36F5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150D70D1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tcPr>
            <w:tcW w:w="6532" w:type="dxa"/>
            <w:vAlign w:val="center"/>
          </w:tcPr>
          <w:p w14:paraId="54239F72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</w:t>
            </w:r>
          </w:p>
        </w:tc>
      </w:tr>
      <w:tr w14:paraId="28BA6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3B17681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tcPr>
            <w:tcW w:w="6532" w:type="dxa"/>
            <w:vAlign w:val="center"/>
          </w:tcPr>
          <w:p w14:paraId="4E4DD2E3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202</w:t>
            </w:r>
            <w:r>
              <w:rPr>
                <w:rFonts w:hint="eastAsia"/>
                <w:color w:val="auto"/>
                <w:lang w:val="en-US" w:eastAsia="zh-CN"/>
              </w:rPr>
              <w:t>5</w:t>
            </w:r>
            <w:r>
              <w:rPr>
                <w:color w:val="auto"/>
              </w:rPr>
              <w:t>-09-14</w:t>
            </w:r>
          </w:p>
        </w:tc>
      </w:tr>
      <w:tr w14:paraId="1CCC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2685CEAD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编制人</w:t>
            </w:r>
          </w:p>
        </w:tc>
        <w:tc>
          <w:tcPr>
            <w:tcW w:w="6532" w:type="dxa"/>
            <w:vAlign w:val="center"/>
          </w:tcPr>
          <w:p w14:paraId="0939F3C7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</w:tr>
      <w:tr w14:paraId="78D0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3D5A790F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审核人</w:t>
            </w:r>
          </w:p>
        </w:tc>
        <w:tc>
          <w:tcPr>
            <w:tcW w:w="6532" w:type="dxa"/>
            <w:vAlign w:val="center"/>
          </w:tcPr>
          <w:p w14:paraId="0727765F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产品负责人、系统架构师、测试负责人</w:t>
            </w:r>
          </w:p>
        </w:tc>
      </w:tr>
      <w:tr w14:paraId="6A05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4311B0DB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编写依据</w:t>
            </w:r>
          </w:p>
        </w:tc>
        <w:tc>
          <w:tcPr>
            <w:tcW w:w="6532" w:type="dxa"/>
            <w:vAlign w:val="center"/>
          </w:tcPr>
          <w:p w14:paraId="796591F2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IEEE Std 830 </w:t>
            </w:r>
            <w:r>
              <w:rPr>
                <w:rFonts w:hint="eastAsia"/>
                <w:color w:val="auto"/>
              </w:rPr>
              <w:t>推荐实践、GB/T</w:t>
            </w:r>
            <w:r>
              <w:rPr>
                <w:color w:val="auto"/>
              </w:rPr>
              <w:t xml:space="preserve"> 8567 </w:t>
            </w:r>
            <w:r>
              <w:rPr>
                <w:rFonts w:hint="eastAsia"/>
                <w:color w:val="auto"/>
              </w:rPr>
              <w:t>计算机软件文档编制规范</w:t>
            </w:r>
          </w:p>
        </w:tc>
      </w:tr>
      <w:tr w14:paraId="4735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8" w:type="dxa"/>
            <w:vAlign w:val="center"/>
          </w:tcPr>
          <w:p w14:paraId="4B0237B8">
            <w:pPr>
              <w:pStyle w:val="24"/>
              <w:snapToGrid w:val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适用范围</w:t>
            </w:r>
          </w:p>
        </w:tc>
        <w:tc>
          <w:tcPr>
            <w:tcW w:w="6532" w:type="dxa"/>
            <w:vAlign w:val="center"/>
          </w:tcPr>
          <w:p w14:paraId="1FBD35A8">
            <w:pPr>
              <w:pStyle w:val="24"/>
              <w:snapToGrid w:val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V4.6.0 </w:t>
            </w:r>
            <w:r>
              <w:rPr>
                <w:rFonts w:hint="eastAsia"/>
                <w:color w:val="auto"/>
              </w:rPr>
              <w:t>全部基线能力（含医院智慧能源决策系统加性开发包）</w:t>
            </w:r>
          </w:p>
        </w:tc>
      </w:tr>
    </w:tbl>
    <w:p w14:paraId="6ABAF5A4">
      <w:pPr>
        <w:pStyle w:val="4"/>
        <w:rPr>
          <w:color w:val="auto"/>
        </w:rPr>
      </w:pPr>
      <w:bookmarkStart w:id="1" w:name="修订记录"/>
      <w:r>
        <w:rPr>
          <w:rFonts w:hint="eastAsia"/>
          <w:color w:val="auto"/>
        </w:rPr>
        <w:t>修订记录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39495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0F7A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32043F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  <w:tc>
          <w:p w14:paraId="612FD1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修订人</w:t>
            </w:r>
          </w:p>
        </w:tc>
        <w:tc>
          <w:p w14:paraId="376EB1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修订说明</w:t>
            </w:r>
          </w:p>
        </w:tc>
        <w:tc>
          <w:p w14:paraId="0CEB37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</w:t>
            </w:r>
          </w:p>
        </w:tc>
      </w:tr>
      <w:tr w14:paraId="64F6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638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  <w:tc>
          <w:p w14:paraId="7AA36A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-09-14</w:t>
            </w:r>
          </w:p>
        </w:tc>
        <w:tc>
          <w:p w14:paraId="003CAC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  <w:tc>
          <w:p w14:paraId="014ECD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首次建立需求基线：覆盖全部既有业务域与医院模块</w:t>
            </w:r>
            <w:r>
              <w:rPr>
                <w:color w:val="auto"/>
              </w:rPr>
              <w:t xml:space="preserve"> FR/NFR</w:t>
            </w:r>
          </w:p>
        </w:tc>
        <w:tc>
          <w:p w14:paraId="3A12C7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</w:t>
            </w:r>
          </w:p>
        </w:tc>
      </w:tr>
    </w:tbl>
    <w:p w14:paraId="033A3269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F5E7BC6">
      <w:pPr>
        <w:pStyle w:val="4"/>
        <w:rPr>
          <w:color w:val="auto"/>
        </w:rPr>
      </w:pPr>
      <w:bookmarkStart w:id="2" w:name="目录"/>
      <w:r>
        <w:rPr>
          <w:rFonts w:hint="eastAsia"/>
          <w:color w:val="auto"/>
        </w:rPr>
        <w:t>目录</w:t>
      </w:r>
    </w:p>
    <w:p w14:paraId="63C7C5B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引言</w:t>
      </w:r>
    </w:p>
    <w:p w14:paraId="169809B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产品概述</w:t>
      </w:r>
    </w:p>
    <w:p w14:paraId="38DB146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功能需求</w:t>
      </w:r>
    </w:p>
    <w:p w14:paraId="7A47B02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外部接口需求</w:t>
      </w:r>
    </w:p>
    <w:p w14:paraId="57C858D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数据需求</w:t>
      </w:r>
    </w:p>
    <w:p w14:paraId="23352AA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非功能需求</w:t>
      </w:r>
    </w:p>
    <w:p w14:paraId="2F17070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合规与隐私需求</w:t>
      </w:r>
    </w:p>
    <w:p w14:paraId="76DEF24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验收准则</w:t>
      </w:r>
    </w:p>
    <w:p w14:paraId="63327E8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需求追溯与变更控制</w:t>
      </w:r>
    </w:p>
    <w:p w14:paraId="5E3A761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A </w:t>
      </w:r>
      <w:r>
        <w:rPr>
          <w:rFonts w:hint="eastAsia"/>
          <w:color w:val="auto"/>
        </w:rPr>
        <w:t>需求优先级定义</w:t>
      </w:r>
    </w:p>
    <w:p w14:paraId="4EE56C2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附录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标准数据点（StandardDataPoint）结构</w:t>
      </w:r>
    </w:p>
    <w:p w14:paraId="46204DA4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4BD8F0AB">
      <w:pPr>
        <w:pStyle w:val="2"/>
        <w:rPr>
          <w:color w:val="auto"/>
        </w:rPr>
      </w:pPr>
      <w:bookmarkStart w:id="3" w:name="引言"/>
      <w:r>
        <w:rPr>
          <w:color w:val="auto"/>
        </w:rPr>
        <w:t xml:space="preserve">1. </w:t>
      </w:r>
      <w:r>
        <w:rPr>
          <w:rFonts w:hint="eastAsia"/>
          <w:color w:val="auto"/>
        </w:rPr>
        <w:t>引言</w:t>
      </w:r>
    </w:p>
    <w:p w14:paraId="67EDEE32">
      <w:pPr>
        <w:pStyle w:val="4"/>
        <w:rPr>
          <w:color w:val="auto"/>
        </w:rPr>
      </w:pPr>
      <w:bookmarkStart w:id="4" w:name="目的"/>
      <w:r>
        <w:rPr>
          <w:color w:val="auto"/>
        </w:rPr>
        <w:t xml:space="preserve">1.1 </w:t>
      </w:r>
      <w:r>
        <w:rPr>
          <w:rFonts w:hint="eastAsia"/>
          <w:color w:val="auto"/>
        </w:rPr>
        <w:t>目的</w:t>
      </w:r>
    </w:p>
    <w:p w14:paraId="45448097">
      <w:pPr>
        <w:pStyle w:val="23"/>
        <w:rPr>
          <w:color w:val="auto"/>
        </w:rPr>
      </w:pPr>
      <w:r>
        <w:rPr>
          <w:rFonts w:hint="eastAsia"/>
          <w:color w:val="auto"/>
        </w:rPr>
        <w:t>本说明书旨在明确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的功能与非功能需求，为概要设计、详细设计、开发、测试、验收及项目管理提供统一、可验证、可追溯的依据。本文档特别定义在既有企业级能源管理平台之上以</w:t>
      </w:r>
      <w:r>
        <w:rPr>
          <w:rFonts w:hint="eastAsia"/>
          <w:b/>
          <w:bCs/>
          <w:color w:val="auto"/>
        </w:rPr>
        <w:t>加性开发</w:t>
      </w:r>
      <w:r>
        <w:rPr>
          <w:rFonts w:hint="eastAsia"/>
          <w:color w:val="auto"/>
        </w:rPr>
        <w:t>方式新增的”医院智慧能源决策系统”需求，该新增能力通过外部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回调获取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CT、MRI、DR、超声、检验流水线、DSA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等检查检验设备数据，</w:t>
      </w:r>
      <w:r>
        <w:rPr>
          <w:rFonts w:hint="eastAsia"/>
          <w:b/>
          <w:bCs/>
          <w:color w:val="auto"/>
        </w:rPr>
        <w:t>既有系统全部功能保留且行为不被改写</w:t>
      </w:r>
      <w:r>
        <w:rPr>
          <w:color w:val="auto"/>
        </w:rPr>
        <w:t>。</w:t>
      </w:r>
    </w:p>
    <w:bookmarkEnd w:id="4"/>
    <w:p w14:paraId="51EC1DA9">
      <w:pPr>
        <w:pStyle w:val="4"/>
        <w:rPr>
          <w:color w:val="auto"/>
        </w:rPr>
      </w:pPr>
      <w:bookmarkStart w:id="5" w:name="范围"/>
      <w:r>
        <w:rPr>
          <w:color w:val="auto"/>
        </w:rPr>
        <w:t xml:space="preserve">1.2 </w:t>
      </w:r>
      <w:r>
        <w:rPr>
          <w:rFonts w:hint="eastAsia"/>
          <w:color w:val="auto"/>
        </w:rPr>
        <w:t>范围</w:t>
      </w:r>
    </w:p>
    <w:p w14:paraId="08F59897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本版本包含</w:t>
      </w:r>
      <w:r>
        <w:rPr>
          <w:rFonts w:hint="eastAsia"/>
          <w:color w:val="auto"/>
        </w:rPr>
        <w:t>：</w:t>
      </w:r>
    </w:p>
    <w:p w14:paraId="73658CB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基线能力：设备管理、能耗分析、报警管理、运维管理、物品管理、定额管理、充电桩管理、碳资产、视频监控、数据查询、管理体系、计量管理、新能源、水务、调度、数字孪生、集控、报表引擎、系统集成与数据同步、系统管理、系统监控等业务域；</w:t>
      </w:r>
    </w:p>
    <w:p w14:paraId="208D74B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新增能力：医院智慧能源决策系统（回调接入层、设备台账、指标体系、院区分区、实时监测、工作量与能效评估、分区能耗、节能建议、医院报警、医院大屏、多院区隔离、国际化）；</w:t>
      </w:r>
    </w:p>
    <w:p w14:paraId="2BDBEBC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支撑能力：MQTT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直采、HTTP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回调、OSS、短信、视频平台、第三方系统集成等外部接口，以及性能、安全、可用性、国际化等非功能需求。</w:t>
      </w:r>
    </w:p>
    <w:p w14:paraId="14F5EF2C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本版本不包含</w:t>
      </w:r>
      <w:r>
        <w:rPr>
          <w:rFonts w:hint="eastAsia"/>
          <w:color w:val="auto"/>
        </w:rPr>
        <w:t>：外部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平台自身改造、HIS/PACS/LIS/RIS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诊疗流程改造、硬件施工，以及</w:t>
      </w:r>
      <w:r>
        <w:rPr>
          <w:color w:val="auto"/>
        </w:rPr>
        <w:t xml:space="preserve"> Vue3 </w:t>
      </w:r>
      <w:r>
        <w:rPr>
          <w:rFonts w:hint="eastAsia"/>
          <w:color w:val="auto"/>
        </w:rPr>
        <w:t>演进版与</w:t>
      </w:r>
      <w:r>
        <w:rPr>
          <w:color w:val="auto"/>
        </w:rPr>
        <w:t xml:space="preserve"> uni-app </w:t>
      </w:r>
      <w:r>
        <w:rPr>
          <w:rFonts w:hint="eastAsia"/>
          <w:color w:val="auto"/>
        </w:rPr>
        <w:t>移动端的医院功能强制交付（仅保留接口兼容预期）。</w:t>
      </w:r>
    </w:p>
    <w:bookmarkEnd w:id="5"/>
    <w:p w14:paraId="627D1622">
      <w:pPr>
        <w:pStyle w:val="4"/>
        <w:rPr>
          <w:color w:val="auto"/>
        </w:rPr>
      </w:pPr>
      <w:bookmarkStart w:id="6" w:name="读者对象"/>
      <w:r>
        <w:rPr>
          <w:color w:val="auto"/>
        </w:rPr>
        <w:t xml:space="preserve">1.3 </w:t>
      </w:r>
      <w:r>
        <w:rPr>
          <w:rFonts w:hint="eastAsia"/>
          <w:color w:val="auto"/>
        </w:rPr>
        <w:t>读者对象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77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0735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读者</w:t>
            </w:r>
          </w:p>
        </w:tc>
        <w:tc>
          <w:p w14:paraId="4B701D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阅读重点</w:t>
            </w:r>
          </w:p>
        </w:tc>
      </w:tr>
      <w:tr w14:paraId="22BE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3A5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客户方决策层、能源与设备管理部门</w:t>
            </w:r>
          </w:p>
        </w:tc>
        <w:tc>
          <w:p w14:paraId="7C8004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2、3（医院模块）、8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章，确认业务需求与验收口径</w:t>
            </w:r>
          </w:p>
        </w:tc>
      </w:tr>
      <w:tr w14:paraId="4DEA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8C5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产品/需求人员</w:t>
            </w:r>
          </w:p>
        </w:tc>
        <w:tc>
          <w:p w14:paraId="5029CB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全文，维护需求基线</w:t>
            </w:r>
          </w:p>
        </w:tc>
      </w:tr>
      <w:tr w14:paraId="6C8F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6AF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架构师/开发人员</w:t>
            </w:r>
          </w:p>
        </w:tc>
        <w:tc>
          <w:p w14:paraId="138B18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3、4、5、6 </w:t>
            </w:r>
            <w:r>
              <w:rPr>
                <w:rFonts w:hint="eastAsia"/>
                <w:color w:val="auto"/>
              </w:rPr>
              <w:t>章，作为设计与实现依据</w:t>
            </w:r>
          </w:p>
        </w:tc>
      </w:tr>
      <w:tr w14:paraId="6D34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882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测试人员</w:t>
            </w:r>
          </w:p>
        </w:tc>
        <w:tc>
          <w:p w14:paraId="1EDA76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3、6、8 </w:t>
            </w:r>
            <w:r>
              <w:rPr>
                <w:rFonts w:hint="eastAsia"/>
                <w:color w:val="auto"/>
              </w:rPr>
              <w:t>章与《需求跟踪矩阵》，推导测试用例</w:t>
            </w:r>
          </w:p>
        </w:tc>
      </w:tr>
      <w:tr w14:paraId="71F4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576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65940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4、6 </w:t>
            </w:r>
            <w:r>
              <w:rPr>
                <w:rFonts w:hint="eastAsia"/>
                <w:color w:val="auto"/>
              </w:rPr>
              <w:t>章与医院回调相关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FR，指导部署与联调</w:t>
            </w:r>
          </w:p>
        </w:tc>
      </w:tr>
      <w:tr w14:paraId="0BA6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56D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项目管理人员</w:t>
            </w:r>
          </w:p>
        </w:tc>
        <w:tc>
          <w:p w14:paraId="7A0007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1.2、9 </w:t>
            </w:r>
            <w:r>
              <w:rPr>
                <w:rFonts w:hint="eastAsia"/>
                <w:color w:val="auto"/>
              </w:rPr>
              <w:t>章，控制范围与变更</w:t>
            </w:r>
          </w:p>
        </w:tc>
      </w:tr>
      <w:bookmarkEnd w:id="6"/>
    </w:tbl>
    <w:p w14:paraId="5F130582">
      <w:pPr>
        <w:pStyle w:val="4"/>
        <w:rPr>
          <w:color w:val="auto"/>
        </w:rPr>
      </w:pPr>
      <w:bookmarkStart w:id="7" w:name="术语与缩略语"/>
      <w:r>
        <w:rPr>
          <w:color w:val="auto"/>
        </w:rPr>
        <w:t xml:space="preserve">1.4 </w:t>
      </w:r>
      <w:r>
        <w:rPr>
          <w:rFonts w:hint="eastAsia"/>
          <w:color w:val="auto"/>
        </w:rPr>
        <w:t>术语与缩略语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9B1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9504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术语</w:t>
            </w:r>
          </w:p>
        </w:tc>
        <w:tc>
          <w:p w14:paraId="1718A7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定义</w:t>
            </w:r>
          </w:p>
        </w:tc>
      </w:tr>
      <w:tr w14:paraId="5ABE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0D4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EMS</w:t>
            </w:r>
          </w:p>
        </w:tc>
        <w:tc>
          <w:p w14:paraId="50B808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Energy Management </w:t>
            </w:r>
            <w:r>
              <w:rPr>
                <w:rFonts w:hint="eastAsia"/>
                <w:color w:val="auto"/>
              </w:rPr>
              <w:t>System，能源管理系统</w:t>
            </w:r>
          </w:p>
        </w:tc>
      </w:tr>
      <w:tr w14:paraId="0F203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0B7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</w:t>
            </w:r>
          </w:p>
        </w:tc>
        <w:tc>
          <w:p w14:paraId="65F650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现场已存在的外部物联网平台，负责设备数据采集并以</w:t>
            </w:r>
            <w:r>
              <w:rPr>
                <w:color w:val="auto"/>
              </w:rPr>
              <w:t xml:space="preserve"> HTTP </w:t>
            </w:r>
            <w:r>
              <w:rPr>
                <w:rFonts w:hint="eastAsia"/>
                <w:color w:val="auto"/>
              </w:rPr>
              <w:t>回调推送</w:t>
            </w:r>
          </w:p>
        </w:tc>
      </w:tr>
      <w:tr w14:paraId="0A92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330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</w:p>
        </w:tc>
        <w:tc>
          <w:p w14:paraId="3A4695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平台向平台预设</w:t>
            </w:r>
            <w:r>
              <w:rPr>
                <w:color w:val="auto"/>
              </w:rPr>
              <w:t xml:space="preserve"> HTTPS </w:t>
            </w:r>
            <w:r>
              <w:rPr>
                <w:rFonts w:hint="eastAsia"/>
                <w:color w:val="auto"/>
              </w:rPr>
              <w:t>地址</w:t>
            </w:r>
            <w:r>
              <w:rPr>
                <w:color w:val="auto"/>
              </w:rPr>
              <w:t xml:space="preserve"> POST </w:t>
            </w:r>
            <w:r>
              <w:rPr>
                <w:rFonts w:hint="eastAsia"/>
                <w:color w:val="auto"/>
              </w:rPr>
              <w:t>报文的单向数据推送</w:t>
            </w:r>
          </w:p>
        </w:tc>
      </w:tr>
      <w:tr w14:paraId="3282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81D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StandardDataPoint</w:t>
            </w:r>
          </w:p>
        </w:tc>
        <w:tc>
          <w:p w14:paraId="08763C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平台标准数据点模型，含设备标识、指标、值、时间戳、质量戳（见附录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B）</w:t>
            </w:r>
          </w:p>
        </w:tc>
      </w:tr>
      <w:tr w14:paraId="1515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F19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加性开发</w:t>
            </w:r>
          </w:p>
        </w:tc>
        <w:tc>
          <w:p w14:paraId="04D05C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仅新增模块与能力，不修改既有功能行为的开发方式</w:t>
            </w:r>
          </w:p>
        </w:tc>
      </w:tr>
      <w:tr w14:paraId="6FB44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4966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</w:t>
            </w:r>
          </w:p>
        </w:tc>
        <w:tc>
          <w:p w14:paraId="465CD7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数据质量标识：GOOD（正常）/UNCERTAIN（可疑）/BAD（故障）/MISSING（缺失）</w:t>
            </w:r>
          </w:p>
        </w:tc>
      </w:tr>
      <w:tr w14:paraId="0DDBB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F27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数据点（测点）</w:t>
            </w:r>
          </w:p>
        </w:tc>
        <w:tc>
          <w:p w14:paraId="4A7067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一台设备上的一个可采集指标</w:t>
            </w:r>
          </w:p>
        </w:tc>
      </w:tr>
      <w:tr w14:paraId="3F34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E22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院区/分区</w:t>
            </w:r>
          </w:p>
        </w:tc>
        <w:tc>
          <w:p w14:paraId="5E3602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多院区机构层级；院区下设物理分区，分区下挂科室与设备</w:t>
            </w:r>
          </w:p>
        </w:tc>
      </w:tr>
      <w:tr w14:paraId="5253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95A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工况</w:t>
            </w:r>
          </w:p>
        </w:tc>
        <w:tc>
          <w:p w14:paraId="44B60B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设备运行状态：工作（WORK）/待机（STANDBY）/关机（OFF）</w:t>
            </w:r>
          </w:p>
        </w:tc>
      </w:tr>
      <w:tr w14:paraId="6E14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E20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P0/P1/P2</w:t>
            </w:r>
          </w:p>
        </w:tc>
        <w:tc>
          <w:p w14:paraId="63B4F7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需求优先级，定义见附录</w:t>
            </w:r>
            <w:r>
              <w:rPr>
                <w:color w:val="auto"/>
              </w:rPr>
              <w:t xml:space="preserve"> A</w:t>
            </w:r>
          </w:p>
        </w:tc>
      </w:tr>
      <w:tr w14:paraId="25FD8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5E8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TPS / P95 / RPO / RTO</w:t>
            </w:r>
          </w:p>
        </w:tc>
        <w:tc>
          <w:p w14:paraId="565F63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每秒事务数</w:t>
            </w:r>
            <w:r>
              <w:rPr>
                <w:color w:val="auto"/>
              </w:rPr>
              <w:t xml:space="preserve"> / 95 </w:t>
            </w:r>
            <w:r>
              <w:rPr>
                <w:rFonts w:hint="eastAsia"/>
                <w:color w:val="auto"/>
              </w:rPr>
              <w:t>分位响应时间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恢复点目标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恢复时间目标</w:t>
            </w:r>
          </w:p>
        </w:tc>
      </w:tr>
      <w:tr w14:paraId="5E9D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E2DC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7EA48F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基于发布订阅的轻量级物联网消息协议（经</w:t>
            </w:r>
            <w:r>
              <w:rPr>
                <w:color w:val="auto"/>
              </w:rPr>
              <w:t xml:space="preserve"> EMQX </w:t>
            </w:r>
            <w:r>
              <w:rPr>
                <w:rFonts w:hint="eastAsia"/>
                <w:color w:val="auto"/>
              </w:rPr>
              <w:t>接入）</w:t>
            </w:r>
          </w:p>
        </w:tc>
      </w:tr>
      <w:tr w14:paraId="1390F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06D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0AA43F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时序数据库，本项目可通过开关启用/停用</w:t>
            </w:r>
          </w:p>
        </w:tc>
      </w:tr>
      <w:tr w14:paraId="1D32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294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GDPR</w:t>
            </w:r>
          </w:p>
        </w:tc>
        <w:tc>
          <w:p w14:paraId="114AFA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欧盟《通用数据保护条例》</w:t>
            </w:r>
          </w:p>
        </w:tc>
      </w:tr>
      <w:bookmarkEnd w:id="7"/>
    </w:tbl>
    <w:p w14:paraId="0B685195">
      <w:pPr>
        <w:pStyle w:val="4"/>
        <w:rPr>
          <w:color w:val="auto"/>
        </w:rPr>
      </w:pPr>
      <w:bookmarkStart w:id="8" w:name="参考资料"/>
      <w:r>
        <w:rPr>
          <w:color w:val="auto"/>
        </w:rPr>
        <w:t xml:space="preserve">1.5 </w:t>
      </w:r>
      <w:r>
        <w:rPr>
          <w:rFonts w:hint="eastAsia"/>
          <w:color w:val="auto"/>
        </w:rPr>
        <w:t>参考资料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375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6F3C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0F4B4A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资料</w:t>
            </w:r>
          </w:p>
        </w:tc>
        <w:tc>
          <w:p w14:paraId="71E341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路径/来源</w:t>
            </w:r>
          </w:p>
        </w:tc>
      </w:tr>
      <w:tr w14:paraId="632B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403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REF-01</w:t>
            </w:r>
          </w:p>
        </w:tc>
        <w:tc>
          <w:p w14:paraId="70BCD4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IEEE Std 830-1998 IEEE Recommended Practice for SRS</w:t>
            </w:r>
          </w:p>
        </w:tc>
        <w:tc>
          <w:p w14:paraId="2C23D3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IEEE</w:t>
            </w:r>
          </w:p>
        </w:tc>
      </w:tr>
      <w:tr w14:paraId="2511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AE9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REF-02</w:t>
            </w:r>
          </w:p>
        </w:tc>
        <w:tc>
          <w:p w14:paraId="1B8500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GB/T 8567-2006 </w:t>
            </w:r>
            <w:r>
              <w:rPr>
                <w:rFonts w:hint="eastAsia"/>
                <w:color w:val="auto"/>
              </w:rPr>
              <w:t>计算机软件文档编制规范</w:t>
            </w:r>
          </w:p>
        </w:tc>
        <w:tc>
          <w:p w14:paraId="2EE904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国家标准</w:t>
            </w:r>
          </w:p>
        </w:tc>
      </w:tr>
      <w:tr w14:paraId="5B39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6AB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REF-03</w:t>
            </w:r>
          </w:p>
        </w:tc>
        <w:tc>
          <w:p w14:paraId="0D54DD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系统功能清单</w:t>
            </w:r>
          </w:p>
        </w:tc>
        <w:tc>
          <w:p w14:paraId="6A054C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docs/系统功能清单.md</w:t>
            </w:r>
          </w:p>
        </w:tc>
      </w:tr>
      <w:tr w14:paraId="30B4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F8C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REF-04</w:t>
            </w:r>
          </w:p>
        </w:tc>
        <w:tc>
          <w:p w14:paraId="767A5F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产品设计文档</w:t>
            </w:r>
          </w:p>
        </w:tc>
        <w:tc>
          <w:p w14:paraId="7D6B70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docs/Deep-EMS产品设计文档.md</w:t>
            </w:r>
          </w:p>
        </w:tc>
      </w:tr>
      <w:tr w14:paraId="7081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F3B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REF-05</w:t>
            </w:r>
          </w:p>
        </w:tc>
        <w:tc>
          <w:p w14:paraId="2156FB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功能清单简版</w:t>
            </w:r>
          </w:p>
        </w:tc>
        <w:tc>
          <w:p w14:paraId="11B978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docs/功能清单简版.md</w:t>
            </w:r>
          </w:p>
        </w:tc>
      </w:tr>
      <w:tr w14:paraId="23FE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399C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REF-06</w:t>
            </w:r>
          </w:p>
        </w:tc>
        <w:tc>
          <w:p w14:paraId="1E44FB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工程基线说明</w:t>
            </w:r>
          </w:p>
        </w:tc>
        <w:tc>
          <w:p w14:paraId="30CE31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仓库根目录</w:t>
            </w:r>
            <w:r>
              <w:rPr>
                <w:color w:val="auto"/>
              </w:rPr>
              <w:t xml:space="preserve"> spec.md</w:t>
            </w:r>
          </w:p>
        </w:tc>
      </w:tr>
      <w:tr w14:paraId="6858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D0F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REF-07</w:t>
            </w:r>
          </w:p>
        </w:tc>
        <w:tc>
          <w:p w14:paraId="73D2C2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需求调研报告</w:t>
            </w:r>
          </w:p>
        </w:tc>
        <w:tc>
          <w:p w14:paraId="668BED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docs/01需求/01-01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需求调研报告.md</w:t>
            </w:r>
          </w:p>
        </w:tc>
      </w:tr>
      <w:tr w14:paraId="654B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E17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REF-08</w:t>
            </w:r>
          </w:p>
        </w:tc>
        <w:tc>
          <w:p w14:paraId="5D5353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使用与架构分析报告</w:t>
            </w:r>
          </w:p>
        </w:tc>
        <w:tc>
          <w:p w14:paraId="5B3875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docs/架构设计/系统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MQTT使用与架构分析报告.md</w:t>
            </w:r>
          </w:p>
        </w:tc>
      </w:tr>
      <w:tr w14:paraId="1CB4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F5C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REF-09</w:t>
            </w:r>
          </w:p>
        </w:tc>
        <w:tc>
          <w:p w14:paraId="17BAAB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角色分析</w:t>
            </w:r>
          </w:p>
        </w:tc>
        <w:tc>
          <w:p w14:paraId="232072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docs/架构设计/TDengine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在本项目中的角色分析.md</w:t>
            </w:r>
          </w:p>
        </w:tc>
      </w:tr>
    </w:tbl>
    <w:p w14:paraId="51E39D78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349D4DCC">
      <w:pPr>
        <w:pStyle w:val="2"/>
        <w:rPr>
          <w:color w:val="auto"/>
        </w:rPr>
      </w:pPr>
      <w:bookmarkStart w:id="9" w:name="产品概述"/>
      <w:r>
        <w:rPr>
          <w:color w:val="auto"/>
        </w:rPr>
        <w:t xml:space="preserve">2. </w:t>
      </w:r>
      <w:r>
        <w:rPr>
          <w:rFonts w:hint="eastAsia"/>
          <w:color w:val="auto"/>
        </w:rPr>
        <w:t>产品概述</w:t>
      </w:r>
    </w:p>
    <w:p w14:paraId="06B76C20">
      <w:pPr>
        <w:pStyle w:val="4"/>
        <w:rPr>
          <w:color w:val="auto"/>
        </w:rPr>
      </w:pPr>
      <w:bookmarkStart w:id="10" w:name="产品定位"/>
      <w:r>
        <w:rPr>
          <w:color w:val="auto"/>
        </w:rPr>
        <w:t xml:space="preserve">2.1 </w:t>
      </w:r>
      <w:r>
        <w:rPr>
          <w:rFonts w:hint="eastAsia"/>
          <w:color w:val="auto"/>
        </w:rPr>
        <w:t>产品定位</w:t>
      </w:r>
    </w:p>
    <w:p w14:paraId="1B6331D0">
      <w:pPr>
        <w:pStyle w:val="23"/>
        <w:rPr>
          <w:color w:val="auto"/>
        </w:rPr>
      </w:pPr>
      <w:r>
        <w:rPr>
          <w:rFonts w:hint="eastAsia"/>
          <w:color w:val="auto"/>
        </w:rPr>
        <w:t>是一套面向园区、企业及公共机构（含医院）的企业级智慧能源管理平台。V4.6.0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在通用能源管理能力之上，面向医院场景新增”智慧能源决策系统”：以外部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平台回调数据为输入，实现检查检验设备级的”采集接入—标准化—高可靠存储—实时监测—报警联动—能效评估—节能决策”闭环，并支持多院区隔离与中英等多语言，满足国内合规与海外推广双重要求。</w:t>
      </w:r>
    </w:p>
    <w:bookmarkEnd w:id="10"/>
    <w:p w14:paraId="308F40CA">
      <w:pPr>
        <w:pStyle w:val="4"/>
        <w:rPr>
          <w:color w:val="auto"/>
        </w:rPr>
      </w:pPr>
      <w:bookmarkStart w:id="11" w:name="产品全景"/>
      <w:r>
        <w:rPr>
          <w:color w:val="auto"/>
        </w:rPr>
        <w:t xml:space="preserve">2.2 </w:t>
      </w:r>
      <w:r>
        <w:rPr>
          <w:rFonts w:hint="eastAsia"/>
          <w:color w:val="auto"/>
        </w:rPr>
        <w:t>产品全景</w:t>
      </w:r>
    </w:p>
    <w:p w14:paraId="14AA3A80">
      <w:pPr>
        <w:pStyle w:val="23"/>
        <w:rPr>
          <w:color w:val="auto"/>
        </w:rPr>
      </w:pPr>
      <w:r>
        <w:rPr>
          <w:rFonts w:hint="eastAsia"/>
          <w:color w:val="auto"/>
        </w:rPr>
        <w:t>平台采用分层结构：</w:t>
      </w:r>
    </w:p>
    <w:p w14:paraId="732FF70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接入层</w:t>
      </w:r>
      <w:r>
        <w:rPr>
          <w:rFonts w:hint="eastAsia"/>
          <w:color w:val="auto"/>
        </w:rPr>
        <w:t>：MQTT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直采（EMQX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5.3.2，面向通用计量/传感设备）、HTTP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回调接入（面向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平台与医院设备）、系统集成数据同步接口；</w:t>
      </w:r>
    </w:p>
    <w:p w14:paraId="5BAB4F40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消息与存储层</w:t>
      </w:r>
      <w:r>
        <w:rPr>
          <w:rFonts w:hint="eastAsia"/>
          <w:color w:val="auto"/>
        </w:rPr>
        <w:t>：RabbitMQ</w:t>
      </w:r>
      <w:r>
        <w:rPr>
          <w:color w:val="auto"/>
        </w:rPr>
        <w:t xml:space="preserve"> 3.12 </w:t>
      </w:r>
      <w:r>
        <w:rPr>
          <w:rFonts w:hint="eastAsia"/>
          <w:color w:val="auto"/>
        </w:rPr>
        <w:t>异步削峰；MySQL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8.0（库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autoee_ems</w:t>
      </w:r>
      <w:r>
        <w:rPr>
          <w:rFonts w:hint="eastAsia"/>
          <w:color w:val="auto"/>
        </w:rPr>
        <w:t>）存档案/配置/业务数据，TDengine</w:t>
      </w:r>
      <w:r>
        <w:rPr>
          <w:color w:val="auto"/>
        </w:rPr>
        <w:t xml:space="preserve"> 3.x </w:t>
      </w:r>
      <w:r>
        <w:rPr>
          <w:rFonts w:hint="eastAsia"/>
          <w:color w:val="auto"/>
        </w:rPr>
        <w:t>存时序数据（可开关，关闭时降级写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时序表）；Redis</w:t>
      </w:r>
      <w:r>
        <w:rPr>
          <w:color w:val="auto"/>
        </w:rPr>
        <w:t xml:space="preserve"> 7.2 </w:t>
      </w:r>
      <w:r>
        <w:rPr>
          <w:rFonts w:hint="eastAsia"/>
          <w:color w:val="auto"/>
        </w:rPr>
        <w:t>缓存与分布式协同；XXL-Job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定时调度；</w:t>
      </w:r>
    </w:p>
    <w:p w14:paraId="2EAA0CB8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业务层</w:t>
      </w:r>
      <w:r>
        <w:rPr>
          <w:rFonts w:hint="eastAsia"/>
          <w:color w:val="auto"/>
        </w:rPr>
        <w:t>：既有</w:t>
      </w:r>
      <w:r>
        <w:rPr>
          <w:color w:val="auto"/>
        </w:rPr>
        <w:t xml:space="preserve"> 20 </w:t>
      </w:r>
      <w:r>
        <w:rPr>
          <w:rFonts w:hint="eastAsia"/>
          <w:color w:val="auto"/>
        </w:rPr>
        <w:t>余个业务域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医院模块（独立包、独立菜单、独立表前缀，加性叠加）；</w:t>
      </w:r>
    </w:p>
    <w:p w14:paraId="1D3A88AD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应用层</w:t>
      </w:r>
      <w:r>
        <w:rPr>
          <w:rFonts w:hint="eastAsia"/>
          <w:color w:val="auto"/>
        </w:rPr>
        <w:t>：Vue</w:t>
      </w:r>
      <w:r>
        <w:rPr>
          <w:color w:val="auto"/>
        </w:rPr>
        <w:t xml:space="preserve"> 2.6 + Element UI + ECharts Web </w:t>
      </w:r>
      <w:r>
        <w:rPr>
          <w:rFonts w:hint="eastAsia"/>
          <w:color w:val="auto"/>
        </w:rPr>
        <w:t>端（dev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9029），大屏与看板；规划</w:t>
      </w:r>
      <w:r>
        <w:rPr>
          <w:color w:val="auto"/>
        </w:rPr>
        <w:t xml:space="preserve"> Vue3 </w:t>
      </w:r>
      <w:r>
        <w:rPr>
          <w:rFonts w:hint="eastAsia"/>
          <w:color w:val="auto"/>
        </w:rPr>
        <w:t>演进版与</w:t>
      </w:r>
      <w:r>
        <w:rPr>
          <w:color w:val="auto"/>
        </w:rPr>
        <w:t xml:space="preserve"> uni-app </w:t>
      </w:r>
      <w:r>
        <w:rPr>
          <w:rFonts w:hint="eastAsia"/>
          <w:color w:val="auto"/>
        </w:rPr>
        <w:t>移动端；</w:t>
      </w:r>
    </w:p>
    <w:p w14:paraId="3AA80CD3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治理层</w:t>
      </w:r>
      <w:r>
        <w:rPr>
          <w:rFonts w:hint="eastAsia"/>
          <w:color w:val="auto"/>
        </w:rPr>
        <w:t>：Sa-Token</w:t>
      </w:r>
      <w:r>
        <w:rPr>
          <w:color w:val="auto"/>
        </w:rPr>
        <w:t xml:space="preserve"> + JWT </w:t>
      </w:r>
      <w:r>
        <w:rPr>
          <w:rFonts w:hint="eastAsia"/>
          <w:color w:val="auto"/>
        </w:rPr>
        <w:t>认证、菜单/数据/按钮三类权限、审计日志、国际化（中/英/俄/印尼）、系统监控。</w:t>
      </w:r>
    </w:p>
    <w:p w14:paraId="000276D7">
      <w:pPr>
        <w:pStyle w:val="23"/>
        <w:rPr>
          <w:color w:val="auto"/>
        </w:rPr>
      </w:pPr>
      <w:r>
        <w:rPr>
          <w:rFonts w:hint="eastAsia"/>
          <w:color w:val="auto"/>
        </w:rPr>
        <w:t>服务端：Spring</w:t>
      </w:r>
      <w:r>
        <w:rPr>
          <w:color w:val="auto"/>
        </w:rPr>
        <w:t xml:space="preserve"> Boot </w:t>
      </w:r>
      <w:r>
        <w:rPr>
          <w:rFonts w:hint="eastAsia"/>
          <w:color w:val="auto"/>
        </w:rPr>
        <w:t>2.7.9，JDK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1.8（强制），端口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8088，context-path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color w:val="auto"/>
        </w:rPr>
        <w:t>。</w:t>
      </w:r>
    </w:p>
    <w:bookmarkEnd w:id="11"/>
    <w:p w14:paraId="141BD313">
      <w:pPr>
        <w:pStyle w:val="4"/>
        <w:rPr>
          <w:color w:val="auto"/>
        </w:rPr>
      </w:pPr>
      <w:bookmarkStart w:id="12" w:name="用户角色特征"/>
      <w:r>
        <w:rPr>
          <w:color w:val="auto"/>
        </w:rPr>
        <w:t xml:space="preserve">2.3 </w:t>
      </w:r>
      <w:r>
        <w:rPr>
          <w:rFonts w:hint="eastAsia"/>
          <w:color w:val="auto"/>
        </w:rPr>
        <w:t>用户角色特征</w:t>
      </w:r>
    </w:p>
    <w:p w14:paraId="5EF7DE05">
      <w:pPr>
        <w:pStyle w:val="5"/>
        <w:rPr>
          <w:color w:val="auto"/>
        </w:rPr>
      </w:pPr>
      <w:bookmarkStart w:id="13" w:name="医院业务角色"/>
      <w:r>
        <w:rPr>
          <w:color w:val="auto"/>
        </w:rPr>
        <w:t xml:space="preserve">2.3.1 </w:t>
      </w:r>
      <w:r>
        <w:rPr>
          <w:rFonts w:hint="eastAsia"/>
          <w:color w:val="auto"/>
        </w:rPr>
        <w:t>医院业务角色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1170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4034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19A794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典型岗位</w:t>
            </w:r>
          </w:p>
        </w:tc>
        <w:tc>
          <w:p w14:paraId="088E93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核心诉求</w:t>
            </w:r>
          </w:p>
        </w:tc>
        <w:tc>
          <w:p w14:paraId="7344CF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使用频率</w:t>
            </w:r>
          </w:p>
        </w:tc>
        <w:tc>
          <w:p w14:paraId="7076A3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技能特征</w:t>
            </w:r>
          </w:p>
        </w:tc>
      </w:tr>
      <w:tr w14:paraId="22FE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E31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决策层</w:t>
            </w:r>
          </w:p>
        </w:tc>
        <w:tc>
          <w:p w14:paraId="3DF599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院长、分管副院长</w:t>
            </w:r>
          </w:p>
        </w:tc>
        <w:tc>
          <w:p w14:paraId="13F164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大屏总览、能效排名、节能决策依据</w:t>
            </w:r>
          </w:p>
        </w:tc>
        <w:tc>
          <w:p w14:paraId="46003D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每周/汇报时</w:t>
            </w:r>
          </w:p>
        </w:tc>
        <w:tc>
          <w:p w14:paraId="668307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</w:t>
            </w:r>
            <w:r>
              <w:rPr>
                <w:color w:val="auto"/>
              </w:rPr>
              <w:t xml:space="preserve"> IT </w:t>
            </w:r>
            <w:r>
              <w:rPr>
                <w:rFonts w:hint="eastAsia"/>
                <w:color w:val="auto"/>
              </w:rPr>
              <w:t>用户，要求直观、少操作</w:t>
            </w:r>
          </w:p>
        </w:tc>
      </w:tr>
      <w:tr w14:paraId="4BD3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717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能源管理负责人</w:t>
            </w:r>
          </w:p>
        </w:tc>
        <w:tc>
          <w:p w14:paraId="3C3DDB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能源/动力科负责人</w:t>
            </w:r>
          </w:p>
        </w:tc>
        <w:tc>
          <w:p w14:paraId="30C595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能耗分析、定额考核、分区核算、节能建议</w:t>
            </w:r>
          </w:p>
        </w:tc>
        <w:tc>
          <w:p w14:paraId="733CAC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</w:p>
        </w:tc>
        <w:tc>
          <w:p w14:paraId="70D803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熟悉能源管理，需灵活报表</w:t>
            </w:r>
          </w:p>
        </w:tc>
      </w:tr>
      <w:tr w14:paraId="1E25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E96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设备科/后勤</w:t>
            </w:r>
          </w:p>
        </w:tc>
        <w:tc>
          <w:p w14:paraId="7DC536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工程师、班组长、维修人员</w:t>
            </w:r>
          </w:p>
        </w:tc>
        <w:tc>
          <w:p w14:paraId="4325F4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台账、实时监测、报警处置、巡检维修</w:t>
            </w:r>
          </w:p>
        </w:tc>
        <w:tc>
          <w:p w14:paraId="13D3F2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每日多次</w:t>
            </w:r>
          </w:p>
        </w:tc>
        <w:tc>
          <w:p w14:paraId="5F0BE1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现场作业，要求移动端友好（后续）</w:t>
            </w:r>
          </w:p>
        </w:tc>
      </w:tr>
      <w:tr w14:paraId="4ACF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304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</w:t>
            </w:r>
          </w:p>
        </w:tc>
        <w:tc>
          <w:p w14:paraId="438E9F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IOT/网络运维</w:t>
            </w:r>
          </w:p>
        </w:tc>
        <w:tc>
          <w:p w14:paraId="7B3B5C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回调链路健康、日志排查、补偿重放</w:t>
            </w:r>
          </w:p>
        </w:tc>
        <w:tc>
          <w:p w14:paraId="03911A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每日/应急</w:t>
            </w:r>
          </w:p>
        </w:tc>
        <w:tc>
          <w:p w14:paraId="267F82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技术人员，需要详细日志与指标</w:t>
            </w:r>
          </w:p>
        </w:tc>
      </w:tr>
      <w:tr w14:paraId="2CF2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7F6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系统管理员</w:t>
            </w:r>
          </w:p>
        </w:tc>
        <w:tc>
          <w:p w14:paraId="156B12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平台管理员</w:t>
            </w:r>
          </w:p>
        </w:tc>
        <w:tc>
          <w:p w14:paraId="00E88A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用户/角色/权限/院区/字典/审计</w:t>
            </w:r>
          </w:p>
        </w:tc>
        <w:tc>
          <w:p w14:paraId="485C48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日常维护</w:t>
            </w:r>
          </w:p>
        </w:tc>
        <w:tc>
          <w:p w14:paraId="6BE9FB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熟悉</w:t>
            </w:r>
            <w:r>
              <w:rPr>
                <w:color w:val="auto"/>
              </w:rPr>
              <w:t xml:space="preserve"> RBAC </w:t>
            </w:r>
            <w:r>
              <w:rPr>
                <w:rFonts w:hint="eastAsia"/>
                <w:color w:val="auto"/>
              </w:rPr>
              <w:t>与系统配置</w:t>
            </w:r>
          </w:p>
        </w:tc>
      </w:tr>
      <w:bookmarkEnd w:id="13"/>
    </w:tbl>
    <w:p w14:paraId="28FAE310">
      <w:pPr>
        <w:pStyle w:val="5"/>
        <w:rPr>
          <w:color w:val="auto"/>
        </w:rPr>
      </w:pPr>
      <w:bookmarkStart w:id="14" w:name="通用角色"/>
      <w:r>
        <w:rPr>
          <w:color w:val="auto"/>
        </w:rPr>
        <w:t xml:space="preserve">2.3.2 </w:t>
      </w:r>
      <w:r>
        <w:rPr>
          <w:rFonts w:hint="eastAsia"/>
          <w:color w:val="auto"/>
        </w:rPr>
        <w:t>通用角色</w:t>
      </w:r>
    </w:p>
    <w:p w14:paraId="5521F8CF">
      <w:pPr>
        <w:pStyle w:val="23"/>
        <w:rPr>
          <w:color w:val="auto"/>
        </w:rPr>
      </w:pPr>
      <w:r>
        <w:rPr>
          <w:rFonts w:hint="eastAsia"/>
          <w:color w:val="auto"/>
        </w:rPr>
        <w:t>系统管理员、部门管理员、普通用户及自定义角色；权限分菜单权限、按钮权限与数据权限，数据权限范围为：全部、本部门及以下、本部门、仅本人。医院模块在此基础上增加”院区”维度的强制隔离（见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FR-HOSP-18）。</w:t>
      </w:r>
    </w:p>
    <w:bookmarkEnd w:id="12"/>
    <w:bookmarkEnd w:id="14"/>
    <w:p w14:paraId="199280E0">
      <w:pPr>
        <w:pStyle w:val="4"/>
        <w:rPr>
          <w:color w:val="auto"/>
        </w:rPr>
      </w:pPr>
      <w:bookmarkStart w:id="15" w:name="运行环境"/>
      <w:r>
        <w:rPr>
          <w:color w:val="auto"/>
        </w:rPr>
        <w:t xml:space="preserve">2.4 </w:t>
      </w:r>
      <w:r>
        <w:rPr>
          <w:rFonts w:hint="eastAsia"/>
          <w:color w:val="auto"/>
        </w:rPr>
        <w:t>运行环境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119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DC6D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7EC0D0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</w:tr>
      <w:tr w14:paraId="57ACD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6CF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运行时</w:t>
            </w:r>
          </w:p>
        </w:tc>
        <w:tc>
          <w:p w14:paraId="3FE4A1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JDK </w:t>
            </w:r>
            <w:r>
              <w:rPr>
                <w:rFonts w:hint="eastAsia"/>
                <w:color w:val="auto"/>
              </w:rPr>
              <w:t>1.8（强制，不兼容</w:t>
            </w:r>
            <w:r>
              <w:rPr>
                <w:color w:val="auto"/>
              </w:rPr>
              <w:t xml:space="preserve"> JDK </w:t>
            </w:r>
            <w:r>
              <w:rPr>
                <w:rFonts w:hint="eastAsia"/>
                <w:color w:val="auto"/>
              </w:rPr>
              <w:t>17+；如高版本</w:t>
            </w:r>
            <w:r>
              <w:rPr>
                <w:color w:val="auto"/>
              </w:rPr>
              <w:t xml:space="preserve"> JDK </w:t>
            </w:r>
            <w:r>
              <w:rPr>
                <w:rFonts w:hint="eastAsia"/>
                <w:color w:val="auto"/>
              </w:rPr>
              <w:t>启动须加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参数，属部署措施）</w:t>
            </w:r>
          </w:p>
        </w:tc>
      </w:tr>
      <w:tr w14:paraId="1EFC0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49E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框架</w:t>
            </w:r>
          </w:p>
        </w:tc>
        <w:tc>
          <w:p w14:paraId="67576F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2.7.9、MyBatis-Plus、Sa-Token + JWT、XXL-Job</w:t>
            </w:r>
          </w:p>
        </w:tc>
      </w:tr>
      <w:tr w14:paraId="3241D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289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数据库/中间件</w:t>
            </w:r>
          </w:p>
        </w:tc>
        <w:tc>
          <w:p w14:paraId="472EBB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8.0（</w:t>
            </w:r>
            <w:r>
              <w:rPr>
                <w:rStyle w:val="48"/>
                <w:color w:val="auto"/>
              </w:rPr>
              <w:t>autoee_ems</w:t>
            </w:r>
            <w:r>
              <w:rPr>
                <w:rFonts w:hint="eastAsia"/>
                <w:color w:val="auto"/>
              </w:rPr>
              <w:t>）、Redis</w:t>
            </w:r>
            <w:r>
              <w:rPr>
                <w:color w:val="auto"/>
              </w:rPr>
              <w:t xml:space="preserve"> 7.2、RabbitMQ 3.12、EMQX 5.3.2、TDengine </w:t>
            </w:r>
            <w:r>
              <w:rPr>
                <w:rFonts w:hint="eastAsia"/>
                <w:color w:val="auto"/>
              </w:rPr>
              <w:t>3.x（</w:t>
            </w:r>
            <w:r>
              <w:rPr>
                <w:rStyle w:val="48"/>
                <w:color w:val="auto"/>
              </w:rPr>
              <w:t>td.enabled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可开关）</w:t>
            </w:r>
          </w:p>
        </w:tc>
      </w:tr>
      <w:tr w14:paraId="20C14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1BC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67735E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Vue 2.6、Element </w:t>
            </w:r>
            <w:r>
              <w:rPr>
                <w:rFonts w:hint="eastAsia"/>
                <w:color w:val="auto"/>
              </w:rPr>
              <w:t>UI、ECharts、vue-i18n（中/英/俄/印尼资源框架，医院模块本期必达中文与英文）</w:t>
            </w:r>
          </w:p>
        </w:tc>
      </w:tr>
      <w:tr w14:paraId="62B5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E33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</w:t>
            </w:r>
          </w:p>
        </w:tc>
        <w:tc>
          <w:p w14:paraId="7C82F5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HTTPS；IOT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平台与平台网络可达；支持</w:t>
            </w:r>
            <w:r>
              <w:rPr>
                <w:color w:val="auto"/>
              </w:rPr>
              <w:t xml:space="preserve"> NTP </w:t>
            </w:r>
            <w:r>
              <w:rPr>
                <w:rFonts w:hint="eastAsia"/>
                <w:color w:val="auto"/>
              </w:rPr>
              <w:t>对时</w:t>
            </w:r>
          </w:p>
        </w:tc>
      </w:tr>
      <w:tr w14:paraId="3006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C21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</w:t>
            </w:r>
          </w:p>
        </w:tc>
        <w:tc>
          <w:p w14:paraId="5E553A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8088 </w:t>
            </w:r>
            <w:r>
              <w:rPr>
                <w:rFonts w:hint="eastAsia"/>
                <w:color w:val="auto"/>
              </w:rPr>
              <w:t>端口、context-path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/autoee-iot-ems</w:t>
            </w:r>
            <w:r>
              <w:rPr>
                <w:rFonts w:hint="eastAsia"/>
                <w:color w:val="auto"/>
              </w:rPr>
              <w:t>；前端</w:t>
            </w:r>
            <w:r>
              <w:rPr>
                <w:color w:val="auto"/>
              </w:rPr>
              <w:t xml:space="preserve"> dev </w:t>
            </w:r>
            <w:r>
              <w:rPr>
                <w:rFonts w:hint="eastAsia"/>
                <w:color w:val="auto"/>
              </w:rPr>
              <w:t>9029；支持</w:t>
            </w:r>
            <w:r>
              <w:rPr>
                <w:color w:val="auto"/>
              </w:rPr>
              <w:t xml:space="preserve"> Docker </w:t>
            </w:r>
            <w:r>
              <w:rPr>
                <w:rFonts w:hint="eastAsia"/>
                <w:color w:val="auto"/>
              </w:rPr>
              <w:t>化部署</w:t>
            </w:r>
          </w:p>
        </w:tc>
      </w:tr>
      <w:tr w14:paraId="5E172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457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</w:t>
            </w:r>
          </w:p>
        </w:tc>
        <w:tc>
          <w:p w14:paraId="2B9A8D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Chrome/Edge </w:t>
            </w:r>
            <w:r>
              <w:rPr>
                <w:rFonts w:hint="eastAsia"/>
                <w:color w:val="auto"/>
              </w:rPr>
              <w:t>现代版本，大屏分辨率不低于</w:t>
            </w:r>
            <w:r>
              <w:rPr>
                <w:color w:val="auto"/>
              </w:rPr>
              <w:t xml:space="preserve"> 1920×1080</w:t>
            </w:r>
          </w:p>
        </w:tc>
      </w:tr>
      <w:bookmarkEnd w:id="15"/>
    </w:tbl>
    <w:p w14:paraId="697B26D0">
      <w:pPr>
        <w:pStyle w:val="4"/>
        <w:rPr>
          <w:color w:val="auto"/>
        </w:rPr>
      </w:pPr>
      <w:bookmarkStart w:id="16" w:name="约束与假设"/>
      <w:r>
        <w:rPr>
          <w:color w:val="auto"/>
        </w:rPr>
        <w:t xml:space="preserve">2.5 </w:t>
      </w:r>
      <w:r>
        <w:rPr>
          <w:rFonts w:hint="eastAsia"/>
          <w:color w:val="auto"/>
        </w:rPr>
        <w:t>约束与假设</w:t>
      </w:r>
    </w:p>
    <w:p w14:paraId="775FB57A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 xml:space="preserve">C1 </w:t>
      </w:r>
      <w:r>
        <w:rPr>
          <w:rFonts w:hint="eastAsia"/>
          <w:b/>
          <w:bCs/>
          <w:color w:val="auto"/>
        </w:rPr>
        <w:t>加性开发</w:t>
      </w:r>
      <w:r>
        <w:rPr>
          <w:rFonts w:hint="eastAsia"/>
          <w:color w:val="auto"/>
        </w:rPr>
        <w:t>：医院模块不得修改既有业务域的表结构语义、接口契约与页面行为；复用能力以调用/继承方式使用；</w:t>
      </w:r>
    </w:p>
    <w:p w14:paraId="02A37D2A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 xml:space="preserve">C2 </w:t>
      </w:r>
      <w:r>
        <w:rPr>
          <w:rFonts w:hint="eastAsia"/>
          <w:b/>
          <w:bCs/>
          <w:color w:val="auto"/>
        </w:rPr>
        <w:t>技术栈锁定</w:t>
      </w:r>
      <w:r>
        <w:rPr>
          <w:rFonts w:hint="eastAsia"/>
          <w:color w:val="auto"/>
        </w:rPr>
        <w:t>：JDK</w:t>
      </w:r>
      <w:r>
        <w:rPr>
          <w:color w:val="auto"/>
        </w:rPr>
        <w:t xml:space="preserve"> 1.8、Spring Boot 2.7.9 </w:t>
      </w:r>
      <w:r>
        <w:rPr>
          <w:rFonts w:hint="eastAsia"/>
          <w:color w:val="auto"/>
        </w:rPr>
        <w:t>与既定中间件版本，不允许引入要求</w:t>
      </w:r>
      <w:r>
        <w:rPr>
          <w:color w:val="auto"/>
        </w:rPr>
        <w:t xml:space="preserve"> JDK 11+ </w:t>
      </w:r>
      <w:r>
        <w:rPr>
          <w:rFonts w:hint="eastAsia"/>
          <w:color w:val="auto"/>
        </w:rPr>
        <w:t>的依赖；</w:t>
      </w:r>
    </w:p>
    <w:p w14:paraId="04495C71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 xml:space="preserve">C3 TDengine </w:t>
      </w:r>
      <w:r>
        <w:rPr>
          <w:rFonts w:hint="eastAsia"/>
          <w:b/>
          <w:bCs/>
          <w:color w:val="auto"/>
        </w:rPr>
        <w:t>可开关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td.enabled=false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时医院回调链路必须仍可完整运行（时序数据降级落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MySQL）；</w:t>
      </w:r>
    </w:p>
    <w:p w14:paraId="1EF2B7D9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 xml:space="preserve">C4 </w:t>
      </w:r>
      <w:r>
        <w:rPr>
          <w:rFonts w:hint="eastAsia"/>
          <w:b/>
          <w:bCs/>
          <w:color w:val="auto"/>
        </w:rPr>
        <w:t>数据来源</w:t>
      </w:r>
      <w:r>
        <w:rPr>
          <w:rFonts w:hint="eastAsia"/>
          <w:color w:val="auto"/>
        </w:rPr>
        <w:t>：检查检验设备数据只来自外部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平台回调，平台不直连医疗设备；</w:t>
      </w:r>
    </w:p>
    <w:p w14:paraId="61676A15">
      <w:pPr>
        <w:pStyle w:val="24"/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 xml:space="preserve">C5 </w:t>
      </w:r>
      <w:r>
        <w:rPr>
          <w:rFonts w:hint="eastAsia"/>
          <w:b/>
          <w:bCs/>
          <w:color w:val="auto"/>
        </w:rPr>
        <w:t>安全红线</w:t>
      </w:r>
      <w:r>
        <w:rPr>
          <w:rFonts w:hint="eastAsia"/>
          <w:color w:val="auto"/>
        </w:rPr>
        <w:t>：默认管理员账号</w:t>
      </w:r>
      <w:r>
        <w:rPr>
          <w:color w:val="auto"/>
        </w:rPr>
        <w:t xml:space="preserve"> admin/123456 </w:t>
      </w:r>
      <w:r>
        <w:rPr>
          <w:rFonts w:hint="eastAsia"/>
          <w:color w:val="auto"/>
        </w:rPr>
        <w:t>仅限初始环境，投产必须改密；全链路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HTTPS；</w:t>
      </w:r>
    </w:p>
    <w:p w14:paraId="3A6BFD2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假设：IOT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平台提供稳定测试环境、报文样例与鉴权配合；医院提供台账与工作量口径数据。</w:t>
      </w:r>
    </w:p>
    <w:bookmarkEnd w:id="16"/>
    <w:p w14:paraId="288A785D">
      <w:pPr>
        <w:pStyle w:val="4"/>
        <w:rPr>
          <w:color w:val="auto"/>
        </w:rPr>
      </w:pPr>
      <w:bookmarkStart w:id="17" w:name="里程碑"/>
      <w:r>
        <w:rPr>
          <w:color w:val="auto"/>
        </w:rPr>
        <w:t xml:space="preserve">2.6 </w:t>
      </w:r>
      <w:r>
        <w:rPr>
          <w:rFonts w:hint="eastAsia"/>
          <w:color w:val="auto"/>
        </w:rPr>
        <w:t>里程碑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56B1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90E1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里程碑</w:t>
            </w:r>
          </w:p>
        </w:tc>
        <w:tc>
          <w:p w14:paraId="56F164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交付主题</w:t>
            </w:r>
          </w:p>
        </w:tc>
        <w:tc>
          <w:p w14:paraId="12C9E4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关联需求</w:t>
            </w:r>
          </w:p>
        </w:tc>
      </w:tr>
      <w:tr w14:paraId="12CA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897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M1</w:t>
            </w:r>
          </w:p>
        </w:tc>
        <w:tc>
          <w:p w14:paraId="43AD6A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回调接入层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设备台账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基础监测</w:t>
            </w:r>
          </w:p>
        </w:tc>
        <w:tc>
          <w:p w14:paraId="1CAC49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FR-HOSP-01~10（基础部分）、FR-HOSP-20</w:t>
            </w:r>
          </w:p>
        </w:tc>
      </w:tr>
      <w:tr w14:paraId="23486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E47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M2</w:t>
            </w:r>
          </w:p>
        </w:tc>
        <w:tc>
          <w:p w14:paraId="01D9F7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UI + </w:t>
            </w:r>
            <w:r>
              <w:rPr>
                <w:rFonts w:hint="eastAsia"/>
                <w:color w:val="auto"/>
              </w:rPr>
              <w:t>国际化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监测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报警</w:t>
            </w:r>
          </w:p>
        </w:tc>
        <w:tc>
          <w:p w14:paraId="6AAEDB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FR-HOSP-15/16/18/19</w:t>
            </w:r>
          </w:p>
        </w:tc>
      </w:tr>
      <w:tr w14:paraId="0D92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3CF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M3</w:t>
            </w:r>
          </w:p>
        </w:tc>
        <w:tc>
          <w:p w14:paraId="017310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能效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节能建议</w:t>
            </w:r>
          </w:p>
        </w:tc>
        <w:tc>
          <w:p w14:paraId="30E340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FR-HOSP-11/12/13/14</w:t>
            </w:r>
          </w:p>
        </w:tc>
      </w:tr>
      <w:tr w14:paraId="2590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B7FF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M4</w:t>
            </w:r>
          </w:p>
        </w:tc>
        <w:tc>
          <w:p w14:paraId="581195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看板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报告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海外收尾</w:t>
            </w:r>
          </w:p>
        </w:tc>
        <w:tc>
          <w:p w14:paraId="5BF0E6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FR-HOSP-17、NFR </w:t>
            </w:r>
            <w:r>
              <w:rPr>
                <w:rFonts w:hint="eastAsia"/>
                <w:color w:val="auto"/>
              </w:rPr>
              <w:t>国际化/合规章</w:t>
            </w:r>
          </w:p>
        </w:tc>
      </w:tr>
    </w:tbl>
    <w:p w14:paraId="7111866A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7"/>
    <w:p w14:paraId="2C701574">
      <w:pPr>
        <w:pStyle w:val="2"/>
        <w:rPr>
          <w:color w:val="auto"/>
        </w:rPr>
      </w:pPr>
      <w:bookmarkStart w:id="18" w:name="功能需求"/>
      <w:r>
        <w:rPr>
          <w:color w:val="auto"/>
        </w:rPr>
        <w:t xml:space="preserve">3. </w:t>
      </w:r>
      <w:r>
        <w:rPr>
          <w:rFonts w:hint="eastAsia"/>
          <w:color w:val="auto"/>
        </w:rPr>
        <w:t>功能需求</w:t>
      </w:r>
    </w:p>
    <w:p w14:paraId="02141DC6">
      <w:pPr>
        <w:pStyle w:val="4"/>
        <w:rPr>
          <w:color w:val="auto"/>
        </w:rPr>
      </w:pPr>
      <w:bookmarkStart w:id="19" w:name="编号与说明规则"/>
      <w:r>
        <w:rPr>
          <w:color w:val="auto"/>
        </w:rPr>
        <w:t xml:space="preserve">3.1 </w:t>
      </w:r>
      <w:r>
        <w:rPr>
          <w:rFonts w:hint="eastAsia"/>
          <w:color w:val="auto"/>
        </w:rPr>
        <w:t>编号与说明规则</w:t>
      </w:r>
    </w:p>
    <w:p w14:paraId="0222944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编号格式：</w:t>
      </w:r>
      <w:r>
        <w:rPr>
          <w:rStyle w:val="48"/>
          <w:rFonts w:hint="eastAsia"/>
          <w:color w:val="auto"/>
        </w:rPr>
        <w:t>FR-&lt;域&gt;-&lt;序号&gt;</w:t>
      </w:r>
      <w:r>
        <w:rPr>
          <w:rFonts w:hint="eastAsia"/>
          <w:color w:val="auto"/>
        </w:rPr>
        <w:t>，域编码见各节；医院模块序号为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FR-HOSP-01~20；</w:t>
      </w:r>
    </w:p>
    <w:p w14:paraId="5040E1D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每条需求给出：优先级、参与者、前置条件、输入、处理规则、输出、异常处理；</w:t>
      </w:r>
    </w:p>
    <w:p w14:paraId="13B3568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优先级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P0（必须）/P1（应该）/P2（可以）定义见附录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A；</w:t>
      </w:r>
    </w:p>
    <w:p w14:paraId="122DE23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标注”基线”的需求表示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既有能力，本版本保持行为不变，仅声明范围；标注”新增”的为医院加性能力。</w:t>
      </w:r>
    </w:p>
    <w:p w14:paraId="669AB8E6">
      <w:pPr>
        <w:pStyle w:val="5"/>
        <w:rPr>
          <w:color w:val="auto"/>
        </w:rPr>
      </w:pPr>
      <w:bookmarkStart w:id="20" w:name="设备管理fr-eqp基线"/>
      <w:r>
        <w:rPr>
          <w:color w:val="auto"/>
        </w:rPr>
        <w:t xml:space="preserve">3.2 </w:t>
      </w:r>
      <w:r>
        <w:rPr>
          <w:rFonts w:hint="eastAsia"/>
          <w:color w:val="auto"/>
        </w:rPr>
        <w:t>设备管理（FR-EQP，基线）</w:t>
      </w:r>
    </w:p>
    <w:p w14:paraId="45054FFD">
      <w:pPr>
        <w:pStyle w:val="23"/>
        <w:rPr>
          <w:color w:val="auto"/>
        </w:rPr>
      </w:pPr>
      <w:r>
        <w:rPr>
          <w:b/>
          <w:bCs/>
          <w:color w:val="auto"/>
        </w:rPr>
        <w:t>FR-EQP-01　</w:t>
      </w:r>
      <w:r>
        <w:rPr>
          <w:rFonts w:hint="eastAsia"/>
          <w:b/>
          <w:bCs/>
          <w:color w:val="auto"/>
        </w:rPr>
        <w:t>设备档案管理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参与者：设备管理员（增改删）、授权用户（查询）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前置条件：已登录，具备设备管理菜单与对应按钮权限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输入：设备编号、名称、类型、品牌型号、所属组织/分区、位置、投运日期、额定参数、状态、附件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处理规则：设备编号全局唯一；主键雪花算法（ASSIGN_ID）；逻辑删除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del_flag</w:t>
      </w:r>
      <w:r>
        <w:rPr>
          <w:rFonts w:hint="eastAsia"/>
          <w:color w:val="auto"/>
        </w:rPr>
        <w:t>（0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存在/2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删除）；支持条件分页、导入导出；设备可绑定网关与测点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输出：档案列表/详情、导入结果、操作结果提示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异常处理：编号重复拦截；必填/格式校验返回字段级错误；删除已被测点或台账引用的设备时阻止并给出引用位置</w:t>
      </w:r>
    </w:p>
    <w:p w14:paraId="19267C1D">
      <w:pPr>
        <w:pStyle w:val="3"/>
        <w:rPr>
          <w:color w:val="auto"/>
        </w:rPr>
      </w:pPr>
      <w:r>
        <w:rPr>
          <w:b/>
          <w:bCs/>
          <w:color w:val="auto"/>
        </w:rPr>
        <w:t>FR-EQP-02　</w:t>
      </w:r>
      <w:r>
        <w:rPr>
          <w:rFonts w:hint="eastAsia"/>
          <w:b/>
          <w:bCs/>
          <w:color w:val="auto"/>
        </w:rPr>
        <w:t>网关管理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参与者：设备管理员、IOT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前置条件：网关档案已建立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输入：网关编号、型号、通讯协议、上线状态、心跳周期、绑定设备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处理规则：维护网关与设备归属；心跳超时标记离线；网关状态变更写日志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输出：网关列表、在线/离线状态、拓扑视图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异常处理：网关心跳丢失按周期置离线并告警；重复注册提示冲突</w:t>
      </w:r>
    </w:p>
    <w:bookmarkEnd w:id="20"/>
    <w:p w14:paraId="045D6466">
      <w:pPr>
        <w:pStyle w:val="5"/>
        <w:rPr>
          <w:color w:val="auto"/>
        </w:rPr>
      </w:pPr>
      <w:bookmarkStart w:id="21" w:name="能耗分析fr-ene基线"/>
      <w:r>
        <w:rPr>
          <w:color w:val="auto"/>
        </w:rPr>
        <w:t xml:space="preserve">3.3 </w:t>
      </w:r>
      <w:r>
        <w:rPr>
          <w:rFonts w:hint="eastAsia"/>
          <w:color w:val="auto"/>
        </w:rPr>
        <w:t>能耗分析（FR-ENE，基线）</w:t>
      </w:r>
    </w:p>
    <w:p w14:paraId="78E241DC">
      <w:pPr>
        <w:pStyle w:val="23"/>
        <w:rPr>
          <w:color w:val="auto"/>
        </w:rPr>
      </w:pPr>
      <w:r>
        <w:rPr>
          <w:b/>
          <w:bCs/>
          <w:color w:val="auto"/>
        </w:rPr>
        <w:t>FR-ENE-01　</w:t>
      </w:r>
      <w:r>
        <w:rPr>
          <w:rFonts w:hint="eastAsia"/>
          <w:b/>
          <w:bCs/>
          <w:color w:val="auto"/>
        </w:rPr>
        <w:t>能耗概况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参与者：能源管理负责人、决策层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前置条件：存在计量数据与组织/分项维度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输入：时间范围、组织/院区、能源种类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处理规则：汇总总能耗、各能源种类占比、关键指标卡片；支持按权限过滤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输出：概况看板（指标卡、饼图、柱图）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异常处理：无数据时显式空状态并提示数据范围，不以</w:t>
      </w:r>
      <w:r>
        <w:rPr>
          <w:color w:val="auto"/>
        </w:rPr>
        <w:t xml:space="preserve"> 0 </w:t>
      </w:r>
      <w:r>
        <w:rPr>
          <w:rFonts w:hint="eastAsia"/>
          <w:color w:val="auto"/>
        </w:rPr>
        <w:t>误导</w:t>
      </w:r>
    </w:p>
    <w:p w14:paraId="1DC7E477">
      <w:pPr>
        <w:pStyle w:val="3"/>
        <w:rPr>
          <w:color w:val="auto"/>
        </w:rPr>
      </w:pPr>
      <w:r>
        <w:rPr>
          <w:b/>
          <w:bCs/>
          <w:color w:val="auto"/>
        </w:rPr>
        <w:t>FR-ENE-02　</w:t>
      </w:r>
      <w:r>
        <w:rPr>
          <w:rFonts w:hint="eastAsia"/>
          <w:b/>
          <w:bCs/>
          <w:color w:val="auto"/>
        </w:rPr>
        <w:t>能耗趋势与同环比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参与者：能源管理负责人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输入：时间粒度（时/日/月/年）、维度、对比周期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处理规则：按粒度聚合，计算同比、环比与差异率；口径可配置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输出：趋势曲线、同环比对比表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异常处理：对比期缺数时标记”缺数”，不参与百分比计算</w:t>
      </w:r>
    </w:p>
    <w:p w14:paraId="416F2422">
      <w:pPr>
        <w:pStyle w:val="3"/>
        <w:rPr>
          <w:color w:val="auto"/>
        </w:rPr>
      </w:pPr>
      <w:r>
        <w:rPr>
          <w:b/>
          <w:bCs/>
          <w:color w:val="auto"/>
        </w:rPr>
        <w:t>FR-ENE-03　</w:t>
      </w:r>
      <w:r>
        <w:rPr>
          <w:rFonts w:hint="eastAsia"/>
          <w:b/>
          <w:bCs/>
          <w:color w:val="auto"/>
        </w:rPr>
        <w:t>分项、流向与损耗分析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输入：分项模型（照明/空调/动力/特殊等）、拓扑节点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处理规则：按分项归集；按能源流向逐级计算输配损耗率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输出：桑基/流向图、分项占比、损耗率排行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异常处理：拓扑不完整时给出缺失环节提示</w:t>
      </w:r>
    </w:p>
    <w:p w14:paraId="19DB7619">
      <w:pPr>
        <w:pStyle w:val="3"/>
        <w:rPr>
          <w:color w:val="auto"/>
        </w:rPr>
      </w:pPr>
      <w:r>
        <w:rPr>
          <w:b/>
          <w:bCs/>
          <w:color w:val="auto"/>
        </w:rPr>
        <w:t>FR-ENE-04　</w:t>
      </w:r>
      <w:r>
        <w:rPr>
          <w:rFonts w:hint="eastAsia"/>
          <w:b/>
          <w:bCs/>
          <w:color w:val="auto"/>
        </w:rPr>
        <w:t>费用、能源平衡与标杆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处理规则：按价格方案计算费用；基于总表与分表之和做能源平衡校验；支持标杆值/定额对标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输出：费用报表、平衡偏差表、标杆对比图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异常处理：平衡偏差超阈值标记异常并可转报警核查</w:t>
      </w:r>
    </w:p>
    <w:p w14:paraId="3266BDF1">
      <w:pPr>
        <w:pStyle w:val="3"/>
        <w:rPr>
          <w:color w:val="auto"/>
        </w:rPr>
      </w:pPr>
      <w:r>
        <w:rPr>
          <w:b/>
          <w:bCs/>
          <w:color w:val="auto"/>
        </w:rPr>
        <w:t>FR-ENE-05　</w:t>
      </w:r>
      <w:r>
        <w:rPr>
          <w:rFonts w:hint="eastAsia"/>
          <w:b/>
          <w:bCs/>
          <w:color w:val="auto"/>
        </w:rPr>
        <w:t>电能质量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输入：电压、电流、功率因数、谐波、三相不平衡等电参量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处理规则：越限统计与越限时长累计；事件化留存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输出：电能质量曲线与越限事件表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异常处理：测点缺失时降级展示可用项</w:t>
      </w:r>
    </w:p>
    <w:bookmarkEnd w:id="21"/>
    <w:p w14:paraId="5AC86EB8">
      <w:pPr>
        <w:pStyle w:val="5"/>
        <w:rPr>
          <w:color w:val="auto"/>
        </w:rPr>
      </w:pPr>
      <w:bookmarkStart w:id="22" w:name="报警管理fr-alm基线"/>
      <w:r>
        <w:rPr>
          <w:color w:val="auto"/>
        </w:rPr>
        <w:t xml:space="preserve">3.4 </w:t>
      </w:r>
      <w:r>
        <w:rPr>
          <w:rFonts w:hint="eastAsia"/>
          <w:color w:val="auto"/>
        </w:rPr>
        <w:t>报警管理（FR-ALM，基线）</w:t>
      </w:r>
    </w:p>
    <w:p w14:paraId="26B4B25E">
      <w:pPr>
        <w:pStyle w:val="23"/>
        <w:rPr>
          <w:color w:val="auto"/>
        </w:rPr>
      </w:pPr>
      <w:r>
        <w:rPr>
          <w:b/>
          <w:bCs/>
          <w:color w:val="auto"/>
        </w:rPr>
        <w:t>FR-ALM-01　</w:t>
      </w:r>
      <w:r>
        <w:rPr>
          <w:rFonts w:hint="eastAsia"/>
          <w:b/>
          <w:bCs/>
          <w:color w:val="auto"/>
        </w:rPr>
        <w:t>实时报警与历史查询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参与者：值班人员、设备科/后勤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前置条件：报警规则已配置且数据接入正常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输入：实时数据点、报警等级/状态/时间范围等查询条件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处理规则：实时计算触发/恢复；按等级声光提示；历史支持多维检索、确认、批注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输出：实时报警栏、历史列表、报警明细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异常处理：服务重启后未恢复报警状态可重建；重复报警按防抖/延时配置合并</w:t>
      </w:r>
    </w:p>
    <w:p w14:paraId="4E6A1C51">
      <w:pPr>
        <w:pStyle w:val="3"/>
        <w:rPr>
          <w:color w:val="auto"/>
        </w:rPr>
      </w:pPr>
      <w:r>
        <w:rPr>
          <w:b/>
          <w:bCs/>
          <w:color w:val="auto"/>
        </w:rPr>
        <w:t>FR-ALM-02　</w:t>
      </w:r>
      <w:r>
        <w:rPr>
          <w:rFonts w:hint="eastAsia"/>
          <w:b/>
          <w:bCs/>
          <w:color w:val="auto"/>
        </w:rPr>
        <w:t>报警规则配置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输入：测点、规则类型（上下限/突变/无数据/组合逻辑）、阈值、等级、时段、防抖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处理规则：规则启用/停用版本化；支持分级与生效时段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输出：规则列表、模拟校验结果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异常处理：规则表达式非法在保存时拦截；测点失效规则自动标记异常</w:t>
      </w:r>
    </w:p>
    <w:p w14:paraId="294D6762">
      <w:pPr>
        <w:pStyle w:val="3"/>
        <w:rPr>
          <w:color w:val="auto"/>
        </w:rPr>
      </w:pPr>
      <w:r>
        <w:rPr>
          <w:b/>
          <w:bCs/>
          <w:color w:val="auto"/>
        </w:rPr>
        <w:t>FR-ALM-03　</w:t>
      </w:r>
      <w:r>
        <w:rPr>
          <w:rFonts w:hint="eastAsia"/>
          <w:b/>
          <w:bCs/>
          <w:color w:val="auto"/>
        </w:rPr>
        <w:t>报警联动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处理规则：报警触发后按配置联动发送邮件、生成维修工单；联动动作留痕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输出：联动记录、工单入口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异常处理：邮件/工单失败自动重试并记录失败原因，不影响报警主流程</w:t>
      </w:r>
    </w:p>
    <w:bookmarkEnd w:id="22"/>
    <w:p w14:paraId="70677708">
      <w:pPr>
        <w:pStyle w:val="5"/>
        <w:rPr>
          <w:color w:val="auto"/>
        </w:rPr>
      </w:pPr>
      <w:bookmarkStart w:id="23" w:name="运维管理fr-oms基线"/>
      <w:r>
        <w:rPr>
          <w:color w:val="auto"/>
        </w:rPr>
        <w:t xml:space="preserve">3.5 </w:t>
      </w:r>
      <w:r>
        <w:rPr>
          <w:rFonts w:hint="eastAsia"/>
          <w:color w:val="auto"/>
        </w:rPr>
        <w:t>运维管理（FR-OMS，基线）</w:t>
      </w:r>
    </w:p>
    <w:p w14:paraId="698B0D44">
      <w:pPr>
        <w:pStyle w:val="23"/>
        <w:rPr>
          <w:color w:val="auto"/>
        </w:rPr>
      </w:pPr>
      <w:r>
        <w:rPr>
          <w:b/>
          <w:bCs/>
          <w:color w:val="auto"/>
        </w:rPr>
        <w:t>FR-OMS-01　</w:t>
      </w:r>
      <w:r>
        <w:rPr>
          <w:rFonts w:hint="eastAsia"/>
          <w:b/>
          <w:bCs/>
          <w:color w:val="auto"/>
        </w:rPr>
        <w:t>巡检计划与任务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参与者：能源管理负责人、班组长、巡检人员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输入：巡检周期、点位、路径、责任人、班次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处理规则：按计划由</w:t>
      </w:r>
      <w:r>
        <w:rPr>
          <w:color w:val="auto"/>
        </w:rPr>
        <w:t xml:space="preserve"> XXL-Job </w:t>
      </w:r>
      <w:r>
        <w:rPr>
          <w:rFonts w:hint="eastAsia"/>
          <w:color w:val="auto"/>
        </w:rPr>
        <w:t>生成巡检任务；超时未执行提醒；漏检统计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输出：计划、任务、路径、漏检报表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异常处理：节假日排班冲突按配置调期并通知</w:t>
      </w:r>
    </w:p>
    <w:p w14:paraId="429A4F86">
      <w:pPr>
        <w:pStyle w:val="3"/>
        <w:rPr>
          <w:color w:val="auto"/>
        </w:rPr>
      </w:pPr>
      <w:r>
        <w:rPr>
          <w:b/>
          <w:bCs/>
          <w:color w:val="auto"/>
        </w:rPr>
        <w:t>FR-OMS-02　</w:t>
      </w:r>
      <w:r>
        <w:rPr>
          <w:rFonts w:hint="eastAsia"/>
          <w:b/>
          <w:bCs/>
          <w:color w:val="auto"/>
        </w:rPr>
        <w:t>巡检记录与巡检点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输入：巡检点定义（位置、检查项、正常值域）、现场记录值与图片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处理规则：逐项填报，异常项可一键转报警/工单；记录不可篡改、可补录审批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输出：巡检记录单、异常清单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异常处理：值越出域自动标异常并要求处置说明</w:t>
      </w:r>
    </w:p>
    <w:p w14:paraId="286DA7AB">
      <w:pPr>
        <w:pStyle w:val="3"/>
        <w:rPr>
          <w:color w:val="auto"/>
        </w:rPr>
      </w:pPr>
      <w:r>
        <w:rPr>
          <w:b/>
          <w:bCs/>
          <w:color w:val="auto"/>
        </w:rPr>
        <w:t>FR-OMS-03　</w:t>
      </w:r>
      <w:r>
        <w:rPr>
          <w:rFonts w:hint="eastAsia"/>
          <w:b/>
          <w:bCs/>
          <w:color w:val="auto"/>
        </w:rPr>
        <w:t>维修工单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参与者：报修人、维修人员、班组长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输入：故障设备、现象、等级、图片、转单/派单/完工信息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处理规则：工单状态机（新建→派单→受理→处理→验收→关闭）；可由报警自动生成；记录响应/处理时长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输出：工单台账、超期预警、维修绩效统计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异常处理：长时间未受理自动升级通知；驳回须填写理由</w:t>
      </w:r>
    </w:p>
    <w:p w14:paraId="55C181E8">
      <w:pPr>
        <w:pStyle w:val="3"/>
        <w:rPr>
          <w:color w:val="auto"/>
        </w:rPr>
      </w:pPr>
      <w:r>
        <w:rPr>
          <w:b/>
          <w:bCs/>
          <w:color w:val="auto"/>
        </w:rPr>
        <w:t>FR-OMS-04　</w:t>
      </w:r>
      <w:r>
        <w:rPr>
          <w:rFonts w:hint="eastAsia"/>
          <w:b/>
          <w:bCs/>
          <w:color w:val="auto"/>
        </w:rPr>
        <w:t>值班排班、示例报告与巡检报警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处理规则：维护排班表与交接班记录；提供巡检报告示例模板；巡检异常进入报警视图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输出：排班表、交接班记录、报告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异常处理：排班冲突提示；交接班未办结事项强制移交确认</w:t>
      </w:r>
    </w:p>
    <w:bookmarkEnd w:id="23"/>
    <w:p w14:paraId="27DD253E">
      <w:pPr>
        <w:pStyle w:val="5"/>
        <w:rPr>
          <w:color w:val="auto"/>
        </w:rPr>
      </w:pPr>
      <w:bookmarkStart w:id="24" w:name="物品管理fr-mat基线"/>
      <w:r>
        <w:rPr>
          <w:color w:val="auto"/>
        </w:rPr>
        <w:t xml:space="preserve">3.6 </w:t>
      </w:r>
      <w:r>
        <w:rPr>
          <w:rFonts w:hint="eastAsia"/>
          <w:color w:val="auto"/>
        </w:rPr>
        <w:t>物品管理（FR-MAT，基线）</w:t>
      </w:r>
    </w:p>
    <w:p w14:paraId="486A4762">
      <w:pPr>
        <w:pStyle w:val="23"/>
        <w:rPr>
          <w:color w:val="auto"/>
        </w:rPr>
      </w:pPr>
      <w:r>
        <w:rPr>
          <w:b/>
          <w:bCs/>
          <w:color w:val="auto"/>
        </w:rPr>
        <w:t>FR-MAT-01　</w:t>
      </w:r>
      <w:r>
        <w:rPr>
          <w:rFonts w:hint="eastAsia"/>
          <w:b/>
          <w:bCs/>
          <w:color w:val="auto"/>
        </w:rPr>
        <w:t>物品与危化品台账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输入：物品编码、名称、类别（含危化品标识）、规格、单位、安全属性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处理规则：危化品额外管理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MSDS、存放要求与有效期预警；逻辑删除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输出：台账、临期/超量预警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异常处理：危化品库存超安全库存上限时禁止入库并预警</w:t>
      </w:r>
    </w:p>
    <w:p w14:paraId="67678F30">
      <w:pPr>
        <w:pStyle w:val="3"/>
        <w:rPr>
          <w:color w:val="auto"/>
        </w:rPr>
      </w:pPr>
      <w:r>
        <w:rPr>
          <w:b/>
          <w:bCs/>
          <w:color w:val="auto"/>
        </w:rPr>
        <w:t>FR-MAT-02　</w:t>
      </w:r>
      <w:r>
        <w:rPr>
          <w:rFonts w:hint="eastAsia"/>
          <w:b/>
          <w:bCs/>
          <w:color w:val="auto"/>
        </w:rPr>
        <w:t>库存与出入库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处理规则：入库/出库/盘点流水化，实时结存；库存上下限预警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输出：库存台账、出入库流水、盘点差异表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异常处理：负库存按策略禁止或审批放行</w:t>
      </w:r>
    </w:p>
    <w:p w14:paraId="3B62A2C0">
      <w:pPr>
        <w:pStyle w:val="3"/>
        <w:rPr>
          <w:color w:val="auto"/>
        </w:rPr>
      </w:pPr>
      <w:r>
        <w:rPr>
          <w:b/>
          <w:bCs/>
          <w:color w:val="auto"/>
        </w:rPr>
        <w:t>FR-MAT-03　</w:t>
      </w:r>
      <w:r>
        <w:rPr>
          <w:rFonts w:hint="eastAsia"/>
          <w:b/>
          <w:bCs/>
          <w:color w:val="auto"/>
        </w:rPr>
        <w:t>供应商、合同与附件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处理规则：维护供应商资质、合同台账与到期提醒；附件经</w:t>
      </w:r>
      <w:r>
        <w:rPr>
          <w:color w:val="auto"/>
        </w:rPr>
        <w:t xml:space="preserve"> OSS </w:t>
      </w:r>
      <w:r>
        <w:rPr>
          <w:rFonts w:hint="eastAsia"/>
          <w:color w:val="auto"/>
        </w:rPr>
        <w:t>存储并鉴权下载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输出：供应商/合同清单、到期提醒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异常处理：资质/合同到期前按周期提醒，过期冻结选用</w:t>
      </w:r>
    </w:p>
    <w:bookmarkEnd w:id="24"/>
    <w:p w14:paraId="116B07F2">
      <w:pPr>
        <w:pStyle w:val="5"/>
        <w:rPr>
          <w:color w:val="auto"/>
        </w:rPr>
      </w:pPr>
      <w:bookmarkStart w:id="25" w:name="定额管理fr-quo基线"/>
      <w:r>
        <w:rPr>
          <w:color w:val="auto"/>
        </w:rPr>
        <w:t xml:space="preserve">3.7 </w:t>
      </w:r>
      <w:r>
        <w:rPr>
          <w:rFonts w:hint="eastAsia"/>
          <w:color w:val="auto"/>
        </w:rPr>
        <w:t>定额管理（FR-QUO，基线）</w:t>
      </w:r>
    </w:p>
    <w:p w14:paraId="04CFA2A0">
      <w:pPr>
        <w:pStyle w:val="23"/>
        <w:rPr>
          <w:color w:val="auto"/>
        </w:rPr>
      </w:pPr>
      <w:r>
        <w:rPr>
          <w:b/>
          <w:bCs/>
          <w:color w:val="auto"/>
        </w:rPr>
        <w:t>FR-QUO-01　</w:t>
      </w:r>
      <w:r>
        <w:rPr>
          <w:rFonts w:hint="eastAsia"/>
          <w:b/>
          <w:bCs/>
          <w:color w:val="auto"/>
        </w:rPr>
        <w:t>能耗定额与考核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参与者：能源管理负责人、部门负责人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输入：定额对象（组织/分区/设备类别）、周期、定额值、分解系数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处理规则：支持定额分解、实际值对标、超定额标识与考核记录；口径与能耗分析一致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输出：定额执行表、超耗清单、考核结果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异常处理：定额缺失对象在考核表中显式列出，不静默忽略</w:t>
      </w:r>
    </w:p>
    <w:bookmarkEnd w:id="25"/>
    <w:p w14:paraId="64212BEF">
      <w:pPr>
        <w:pStyle w:val="5"/>
        <w:rPr>
          <w:color w:val="auto"/>
        </w:rPr>
      </w:pPr>
      <w:bookmarkStart w:id="26" w:name="充电桩管理fr-cp基线"/>
      <w:r>
        <w:rPr>
          <w:color w:val="auto"/>
        </w:rPr>
        <w:t xml:space="preserve">3.8 </w:t>
      </w:r>
      <w:r>
        <w:rPr>
          <w:rFonts w:hint="eastAsia"/>
          <w:color w:val="auto"/>
        </w:rPr>
        <w:t>充电桩管理（FR-CP，基线）</w:t>
      </w:r>
    </w:p>
    <w:p w14:paraId="10CBA9D5">
      <w:pPr>
        <w:pStyle w:val="23"/>
        <w:rPr>
          <w:color w:val="auto"/>
        </w:rPr>
      </w:pPr>
      <w:r>
        <w:rPr>
          <w:b/>
          <w:bCs/>
          <w:color w:val="auto"/>
        </w:rPr>
        <w:t>FR-CP-01　</w:t>
      </w:r>
      <w:r>
        <w:rPr>
          <w:rFonts w:hint="eastAsia"/>
          <w:b/>
          <w:bCs/>
          <w:color w:val="auto"/>
        </w:rPr>
        <w:t>充电站/桩档案与商户品牌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输入：站点、桩、枪、品牌型号、商户、运行状态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处理规则：站点—桩—枪层级建模；心跳状态与故障状态维护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输出：站点台账、状态分布图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异常处理：桩离线超时标记并告警</w:t>
      </w:r>
    </w:p>
    <w:p w14:paraId="1A7C1E91">
      <w:pPr>
        <w:pStyle w:val="3"/>
        <w:rPr>
          <w:color w:val="auto"/>
        </w:rPr>
      </w:pPr>
      <w:r>
        <w:rPr>
          <w:b/>
          <w:bCs/>
          <w:color w:val="auto"/>
        </w:rPr>
        <w:t>FR-CP-02　</w:t>
      </w:r>
      <w:r>
        <w:rPr>
          <w:rFonts w:hint="eastAsia"/>
          <w:b/>
          <w:bCs/>
          <w:color w:val="auto"/>
        </w:rPr>
        <w:t>订单与价格策略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输入：充电订单（电量、时长、金额）、分时/服务费价格策略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处理规则：按价格策略计费；订单对账与异常订单标记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输出：订单流水、营收统计、对账单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异常处理：金额不一致订单进入异常池人工处理</w:t>
      </w:r>
    </w:p>
    <w:p w14:paraId="74DA1BC6">
      <w:pPr>
        <w:pStyle w:val="3"/>
        <w:rPr>
          <w:color w:val="auto"/>
        </w:rPr>
      </w:pPr>
      <w:r>
        <w:rPr>
          <w:b/>
          <w:bCs/>
          <w:color w:val="auto"/>
        </w:rPr>
        <w:t>FR-CP-03　</w:t>
      </w:r>
      <w:r>
        <w:rPr>
          <w:rFonts w:hint="eastAsia"/>
          <w:b/>
          <w:bCs/>
          <w:color w:val="auto"/>
        </w:rPr>
        <w:t>充电仪表盘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输出：站点地图、在线率、功率、营收与充电量看板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异常处理：站点坐标缺失时列表降级展示</w:t>
      </w:r>
    </w:p>
    <w:bookmarkEnd w:id="26"/>
    <w:p w14:paraId="39828117">
      <w:pPr>
        <w:pStyle w:val="5"/>
        <w:rPr>
          <w:color w:val="auto"/>
        </w:rPr>
      </w:pPr>
      <w:bookmarkStart w:id="27" w:name="碳资产fr-car基线"/>
      <w:r>
        <w:rPr>
          <w:color w:val="auto"/>
        </w:rPr>
        <w:t xml:space="preserve">3.9 </w:t>
      </w:r>
      <w:r>
        <w:rPr>
          <w:rFonts w:hint="eastAsia"/>
          <w:color w:val="auto"/>
        </w:rPr>
        <w:t>碳资产（FR-CAR，基线）</w:t>
      </w:r>
    </w:p>
    <w:p w14:paraId="3FFD2EC6">
      <w:pPr>
        <w:pStyle w:val="23"/>
        <w:rPr>
          <w:color w:val="auto"/>
        </w:rPr>
      </w:pPr>
      <w:r>
        <w:rPr>
          <w:b/>
          <w:bCs/>
          <w:color w:val="auto"/>
        </w:rPr>
        <w:t>FR-CAR-01　</w:t>
      </w:r>
      <w:r>
        <w:rPr>
          <w:rFonts w:hint="eastAsia"/>
          <w:b/>
          <w:bCs/>
          <w:color w:val="auto"/>
        </w:rPr>
        <w:t>碳排放核算与碳资产台账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输入：活动数据（能耗量）、排放因子、碳配额/CCER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等资产记录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处理规则：按可配置排放因子计算碳排放量；资产增减台账化；支持报告导出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输出：碳排放报表、碳资产台账、趋势图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异常处理：因子缺失时标记”未核算”，禁止以零充数</w:t>
      </w:r>
    </w:p>
    <w:bookmarkEnd w:id="27"/>
    <w:p w14:paraId="183A225F">
      <w:pPr>
        <w:pStyle w:val="5"/>
        <w:rPr>
          <w:color w:val="auto"/>
        </w:rPr>
      </w:pPr>
      <w:bookmarkStart w:id="28" w:name="视频监控fr-vid基线"/>
      <w:r>
        <w:rPr>
          <w:color w:val="auto"/>
        </w:rPr>
        <w:t xml:space="preserve">3.10 </w:t>
      </w:r>
      <w:r>
        <w:rPr>
          <w:rFonts w:hint="eastAsia"/>
          <w:color w:val="auto"/>
        </w:rPr>
        <w:t>视频监控（FR-VID，基线）</w:t>
      </w:r>
    </w:p>
    <w:p w14:paraId="58CDCD3C">
      <w:pPr>
        <w:pStyle w:val="23"/>
        <w:rPr>
          <w:color w:val="auto"/>
        </w:rPr>
      </w:pPr>
      <w:r>
        <w:rPr>
          <w:b/>
          <w:bCs/>
          <w:color w:val="auto"/>
        </w:rPr>
        <w:t>FR-VID-01　</w:t>
      </w:r>
      <w:r>
        <w:rPr>
          <w:rFonts w:hint="eastAsia"/>
          <w:b/>
          <w:bCs/>
          <w:color w:val="auto"/>
        </w:rPr>
        <w:t>视频接入与联动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输入：视频平台通道/设备信息、点位与能源对象绑定关系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处理规则：按平台接入方案嵌入实时预览/回放；支持报警联动弹画面（视频平台接口见第</w:t>
      </w:r>
      <w:r>
        <w:rPr>
          <w:color w:val="auto"/>
        </w:rPr>
        <w:t xml:space="preserve"> 4 </w:t>
      </w:r>
      <w:r>
        <w:rPr>
          <w:rFonts w:hint="eastAsia"/>
          <w:color w:val="auto"/>
        </w:rPr>
        <w:t>章）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输出：视频点位树、预览窗口、联动记录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异常处理：取流失败显示原因并提供重试，不阻断能源主页面</w:t>
      </w:r>
    </w:p>
    <w:bookmarkEnd w:id="28"/>
    <w:p w14:paraId="5C35C944">
      <w:pPr>
        <w:pStyle w:val="5"/>
        <w:rPr>
          <w:color w:val="auto"/>
        </w:rPr>
      </w:pPr>
      <w:bookmarkStart w:id="29" w:name="数据查询fr-dq基线"/>
      <w:r>
        <w:rPr>
          <w:color w:val="auto"/>
        </w:rPr>
        <w:t xml:space="preserve">3.11 </w:t>
      </w:r>
      <w:r>
        <w:rPr>
          <w:rFonts w:hint="eastAsia"/>
          <w:color w:val="auto"/>
        </w:rPr>
        <w:t>数据查询（FR-DQ，基线）</w:t>
      </w:r>
    </w:p>
    <w:p w14:paraId="07A10D81">
      <w:pPr>
        <w:pStyle w:val="23"/>
        <w:rPr>
          <w:color w:val="auto"/>
        </w:rPr>
      </w:pPr>
      <w:r>
        <w:rPr>
          <w:b/>
          <w:bCs/>
          <w:color w:val="auto"/>
        </w:rPr>
        <w:t>FR-DQ-01　</w:t>
      </w:r>
      <w:r>
        <w:rPr>
          <w:rFonts w:hint="eastAsia"/>
          <w:b/>
          <w:bCs/>
          <w:color w:val="auto"/>
        </w:rPr>
        <w:t>电力参数查询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参与者：能源管理、运维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输入：测点、时间范围、参数项、粒度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处理规则：从时序存储检索电压/电流/功率/功率因数/电度等；支持导出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输出：参数曲线、明细表、导出文件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异常处理：大范围查询限制时间窗并异步导出，避免拖垮库</w:t>
      </w:r>
    </w:p>
    <w:bookmarkEnd w:id="29"/>
    <w:p w14:paraId="46EAC0B9">
      <w:pPr>
        <w:pStyle w:val="5"/>
        <w:rPr>
          <w:color w:val="auto"/>
        </w:rPr>
      </w:pPr>
      <w:bookmarkStart w:id="30" w:name="管理体系fr-mgt基线"/>
      <w:r>
        <w:rPr>
          <w:color w:val="auto"/>
        </w:rPr>
        <w:t xml:space="preserve">3.12 </w:t>
      </w:r>
      <w:r>
        <w:rPr>
          <w:rFonts w:hint="eastAsia"/>
          <w:color w:val="auto"/>
        </w:rPr>
        <w:t>管理体系（FR-MGT，基线）</w:t>
      </w:r>
    </w:p>
    <w:p w14:paraId="240C8F4F">
      <w:pPr>
        <w:pStyle w:val="23"/>
        <w:rPr>
          <w:color w:val="auto"/>
        </w:rPr>
      </w:pPr>
      <w:r>
        <w:rPr>
          <w:b/>
          <w:bCs/>
          <w:color w:val="auto"/>
        </w:rPr>
        <w:t>FR-MGT-01　</w:t>
      </w:r>
      <w:r>
        <w:rPr>
          <w:rFonts w:hint="eastAsia"/>
          <w:b/>
          <w:bCs/>
          <w:color w:val="auto"/>
        </w:rPr>
        <w:t>标准、规章、预案与流程库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输入：制度文件分类（标准/规章/应急预案/工作流程）、正文与附件、生效状态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处理规则：分类树形管理；版本与生效日期控制；全文检索；过期提醒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输出：制度库目录、检索结果、详情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异常处理：废止版本不可被新流程引用并给出提示</w:t>
      </w:r>
    </w:p>
    <w:bookmarkEnd w:id="30"/>
    <w:p w14:paraId="746FEDC9">
      <w:pPr>
        <w:pStyle w:val="5"/>
        <w:rPr>
          <w:color w:val="auto"/>
        </w:rPr>
      </w:pPr>
      <w:bookmarkStart w:id="31" w:name="计量管理fr-met基线"/>
      <w:r>
        <w:rPr>
          <w:color w:val="auto"/>
        </w:rPr>
        <w:t xml:space="preserve">3.13 </w:t>
      </w:r>
      <w:r>
        <w:rPr>
          <w:rFonts w:hint="eastAsia"/>
          <w:color w:val="auto"/>
        </w:rPr>
        <w:t>计量管理（FR-MET，基线）</w:t>
      </w:r>
    </w:p>
    <w:p w14:paraId="67FC009E">
      <w:pPr>
        <w:pStyle w:val="23"/>
        <w:rPr>
          <w:color w:val="auto"/>
        </w:rPr>
      </w:pPr>
      <w:r>
        <w:rPr>
          <w:b/>
          <w:bCs/>
          <w:color w:val="auto"/>
        </w:rPr>
        <w:t>FR-MET-01　</w:t>
      </w:r>
      <w:r>
        <w:rPr>
          <w:rFonts w:hint="eastAsia"/>
          <w:b/>
          <w:bCs/>
          <w:color w:val="auto"/>
        </w:rPr>
        <w:t>表计台账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输入：表计编号、类型、倍率、安装位置、归属对象、检定状态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处理规则：表计与能源对象绑定；倍率变更历史留痕；异常表计标记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输出：表计台账、绑定拓扑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异常处理：删除在用表计时阻止并提示解绑</w:t>
      </w:r>
    </w:p>
    <w:p w14:paraId="27D85ABA">
      <w:pPr>
        <w:pStyle w:val="3"/>
        <w:rPr>
          <w:color w:val="auto"/>
        </w:rPr>
      </w:pPr>
      <w:r>
        <w:rPr>
          <w:b/>
          <w:bCs/>
          <w:color w:val="auto"/>
        </w:rPr>
        <w:t>FR-MET-02　</w:t>
      </w:r>
      <w:r>
        <w:rPr>
          <w:rFonts w:hint="eastAsia"/>
          <w:b/>
          <w:bCs/>
          <w:color w:val="auto"/>
        </w:rPr>
        <w:t>检定计划与记录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处理规则：按检定周期生成检定计划，登记检定结果与证书；到期预警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输出：检定计划、记录、证书附件、到期清单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异常处理：超期未检定表计的数据在核算时打”未检定”标识</w:t>
      </w:r>
    </w:p>
    <w:bookmarkEnd w:id="31"/>
    <w:p w14:paraId="23747F5A">
      <w:pPr>
        <w:pStyle w:val="5"/>
        <w:rPr>
          <w:color w:val="auto"/>
        </w:rPr>
      </w:pPr>
      <w:bookmarkStart w:id="32" w:name="新能源fr-new基线"/>
      <w:r>
        <w:rPr>
          <w:color w:val="auto"/>
        </w:rPr>
        <w:t xml:space="preserve">3.14 </w:t>
      </w:r>
      <w:r>
        <w:rPr>
          <w:rFonts w:hint="eastAsia"/>
          <w:color w:val="auto"/>
        </w:rPr>
        <w:t>新能源（FR-NEW，基线）</w:t>
      </w:r>
    </w:p>
    <w:p w14:paraId="51F28E5D">
      <w:pPr>
        <w:pStyle w:val="23"/>
        <w:rPr>
          <w:color w:val="auto"/>
        </w:rPr>
      </w:pPr>
      <w:r>
        <w:rPr>
          <w:b/>
          <w:bCs/>
          <w:color w:val="auto"/>
        </w:rPr>
        <w:t>FR-NEW-01　</w:t>
      </w:r>
      <w:r>
        <w:rPr>
          <w:rFonts w:hint="eastAsia"/>
          <w:b/>
          <w:bCs/>
          <w:color w:val="auto"/>
        </w:rPr>
        <w:t>光伏、储能与微电网监测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输入：逆变器、电池、并网点等设备测点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处理规则：监测发电量、储能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SOC、充放电与并离网状态；计算自发自用率等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输出：新能源监视画面与发电统计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异常处理：通讯中断按无数据报警处理</w:t>
      </w:r>
    </w:p>
    <w:p w14:paraId="706EB345">
      <w:pPr>
        <w:pStyle w:val="3"/>
        <w:rPr>
          <w:color w:val="auto"/>
        </w:rPr>
      </w:pPr>
      <w:r>
        <w:rPr>
          <w:b/>
          <w:bCs/>
          <w:color w:val="auto"/>
        </w:rPr>
        <w:t>FR-NEW-02　</w:t>
      </w:r>
      <w:r>
        <w:rPr>
          <w:rFonts w:hint="eastAsia"/>
          <w:b/>
          <w:bCs/>
          <w:color w:val="auto"/>
        </w:rPr>
        <w:t>虚拟电厂与统计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处理规则：可调节资源注册、响应能力统计与事件记录（以统计分析为主，不承担实时调度执行）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输出：资源台账、响应统计报表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异常处理：资源不可用时标记剔除</w:t>
      </w:r>
    </w:p>
    <w:bookmarkEnd w:id="32"/>
    <w:p w14:paraId="7CD6DC0A">
      <w:pPr>
        <w:pStyle w:val="5"/>
        <w:rPr>
          <w:color w:val="auto"/>
        </w:rPr>
      </w:pPr>
      <w:bookmarkStart w:id="33" w:name="水务fr-wat基线"/>
      <w:r>
        <w:rPr>
          <w:color w:val="auto"/>
        </w:rPr>
        <w:t xml:space="preserve">3.15 </w:t>
      </w:r>
      <w:r>
        <w:rPr>
          <w:rFonts w:hint="eastAsia"/>
          <w:color w:val="auto"/>
        </w:rPr>
        <w:t>水务（FR-WAT，基线）</w:t>
      </w:r>
    </w:p>
    <w:p w14:paraId="6F071978">
      <w:pPr>
        <w:pStyle w:val="23"/>
        <w:rPr>
          <w:color w:val="auto"/>
        </w:rPr>
      </w:pPr>
      <w:r>
        <w:rPr>
          <w:b/>
          <w:bCs/>
          <w:color w:val="auto"/>
        </w:rPr>
        <w:t>FR-WAT-01　</w:t>
      </w:r>
      <w:r>
        <w:rPr>
          <w:rFonts w:hint="eastAsia"/>
          <w:b/>
          <w:bCs/>
          <w:color w:val="auto"/>
        </w:rPr>
        <w:t>水务监测与平衡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输入：各级水表、水质/水压测点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处理规则：用水量统计、管网水平衡、漏损分析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输出：用水趋势、水平衡与漏损报表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异常处理：夜间最小流量异常自动提示疑似漏损</w:t>
      </w:r>
    </w:p>
    <w:bookmarkEnd w:id="33"/>
    <w:p w14:paraId="77308AF3">
      <w:pPr>
        <w:pStyle w:val="5"/>
        <w:rPr>
          <w:color w:val="auto"/>
        </w:rPr>
      </w:pPr>
      <w:bookmarkStart w:id="34" w:name="调度fr-dis基线"/>
      <w:r>
        <w:rPr>
          <w:color w:val="auto"/>
        </w:rPr>
        <w:t xml:space="preserve">3.16 </w:t>
      </w:r>
      <w:r>
        <w:rPr>
          <w:rFonts w:hint="eastAsia"/>
          <w:color w:val="auto"/>
        </w:rPr>
        <w:t>调度（FR-DIS，基线）</w:t>
      </w:r>
    </w:p>
    <w:p w14:paraId="25AAC327">
      <w:pPr>
        <w:pStyle w:val="23"/>
        <w:rPr>
          <w:color w:val="auto"/>
        </w:rPr>
      </w:pPr>
      <w:r>
        <w:rPr>
          <w:b/>
          <w:bCs/>
          <w:color w:val="auto"/>
        </w:rPr>
        <w:t>FR-DIS-01　</w:t>
      </w:r>
      <w:r>
        <w:rPr>
          <w:rFonts w:hint="eastAsia"/>
          <w:b/>
          <w:bCs/>
          <w:color w:val="auto"/>
        </w:rPr>
        <w:t>负荷、需求、价格预测与天气预报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输入：历史负荷、生产计划、价格、天气数据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处理规则：按算法模型生成短期负荷/需求/价格预测；天气预报外部获取并展示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输出：预测曲线、准确率回测、天气面板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异常处理：外部天气源失败时沿用上一有效数据并标注</w:t>
      </w:r>
    </w:p>
    <w:p w14:paraId="4E1F22FA">
      <w:pPr>
        <w:pStyle w:val="3"/>
        <w:rPr>
          <w:color w:val="auto"/>
        </w:rPr>
      </w:pPr>
      <w:r>
        <w:rPr>
          <w:b/>
          <w:bCs/>
          <w:color w:val="auto"/>
        </w:rPr>
        <w:t>FR-DIS-02　</w:t>
      </w:r>
      <w:r>
        <w:rPr>
          <w:rFonts w:hint="eastAsia"/>
          <w:b/>
          <w:bCs/>
          <w:color w:val="auto"/>
        </w:rPr>
        <w:t>生产能源协同与优化方案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处理规则：基于约束与目标函数生成优化用能方案（算法可迭代）；方案需人工确认后执行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输出：优化方案、收益测算、对比基线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异常处理：输入数据不全时禁止输出”最优”结论，改为提示补数</w:t>
      </w:r>
    </w:p>
    <w:p w14:paraId="2DA4735E">
      <w:pPr>
        <w:pStyle w:val="3"/>
        <w:rPr>
          <w:color w:val="auto"/>
        </w:rPr>
      </w:pPr>
      <w:r>
        <w:rPr>
          <w:b/>
          <w:bCs/>
          <w:color w:val="auto"/>
        </w:rPr>
        <w:t>FR-DIS-03　</w:t>
      </w:r>
      <w:r>
        <w:rPr>
          <w:rFonts w:hint="eastAsia"/>
          <w:b/>
          <w:bCs/>
          <w:color w:val="auto"/>
        </w:rPr>
        <w:t>配电网/网络节点、调度指令、评估与能源计划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处理规则：维护网络节点模型；调度指令拟制—审批—下发—回执闭环；评估报告与能源计划编制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输出：节点图、指令单、评估报告、能源计划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异常处理：指令未回执自动催办；越权下发被拦截并审计</w:t>
      </w:r>
    </w:p>
    <w:bookmarkEnd w:id="34"/>
    <w:p w14:paraId="53FCBE14">
      <w:pPr>
        <w:pStyle w:val="5"/>
        <w:rPr>
          <w:color w:val="auto"/>
        </w:rPr>
      </w:pPr>
      <w:bookmarkStart w:id="35" w:name="数字孪生fr-dt基线"/>
      <w:r>
        <w:rPr>
          <w:color w:val="auto"/>
        </w:rPr>
        <w:t xml:space="preserve">3.17 </w:t>
      </w:r>
      <w:r>
        <w:rPr>
          <w:rFonts w:hint="eastAsia"/>
          <w:color w:val="auto"/>
        </w:rPr>
        <w:t>数字孪生（FR-DT，基线）</w:t>
      </w:r>
    </w:p>
    <w:p w14:paraId="52ECE5A4">
      <w:pPr>
        <w:pStyle w:val="23"/>
        <w:rPr>
          <w:color w:val="auto"/>
        </w:rPr>
      </w:pPr>
      <w:r>
        <w:rPr>
          <w:b/>
          <w:bCs/>
          <w:color w:val="auto"/>
        </w:rPr>
        <w:t xml:space="preserve">FR-DT-01　3D </w:t>
      </w:r>
      <w:r>
        <w:rPr>
          <w:rFonts w:hint="eastAsia"/>
          <w:b/>
          <w:bCs/>
          <w:color w:val="auto"/>
        </w:rPr>
        <w:t>模型、孪生设备与能流</w:t>
      </w:r>
      <w:r>
        <w:rPr>
          <w:color w:val="auto"/>
        </w:rPr>
        <w:t>　</w:t>
      </w:r>
      <w:r>
        <w:rPr>
          <w:rFonts w:hint="eastAsia"/>
          <w:color w:val="auto"/>
        </w:rPr>
        <w:t>【P2｜基线】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输入：3D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模型文件、孪生设备与真实测点映射、能流拓扑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处理规则：模型轻量化加载；实时数据驱动设备状态与能流动画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输出：三维场景、设备状态、能流动画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异常处理：模型加载失败给出占位与重试；测点断连显示最后状态与时间戳</w:t>
      </w:r>
    </w:p>
    <w:bookmarkEnd w:id="35"/>
    <w:p w14:paraId="5D9ABBBF">
      <w:pPr>
        <w:pStyle w:val="5"/>
        <w:rPr>
          <w:color w:val="auto"/>
        </w:rPr>
      </w:pPr>
      <w:bookmarkStart w:id="36" w:name="集控fr-cc基线"/>
      <w:r>
        <w:rPr>
          <w:color w:val="auto"/>
        </w:rPr>
        <w:t xml:space="preserve">3.18 </w:t>
      </w:r>
      <w:r>
        <w:rPr>
          <w:rFonts w:hint="eastAsia"/>
          <w:color w:val="auto"/>
        </w:rPr>
        <w:t>集控（FR-CC，基线）</w:t>
      </w:r>
    </w:p>
    <w:p w14:paraId="180EA7A0">
      <w:pPr>
        <w:pStyle w:val="23"/>
        <w:rPr>
          <w:color w:val="auto"/>
        </w:rPr>
      </w:pPr>
      <w:r>
        <w:rPr>
          <w:b/>
          <w:bCs/>
          <w:color w:val="auto"/>
        </w:rPr>
        <w:t>FR-CC-01　</w:t>
      </w:r>
      <w:r>
        <w:rPr>
          <w:rFonts w:hint="eastAsia"/>
          <w:b/>
          <w:bCs/>
          <w:color w:val="auto"/>
        </w:rPr>
        <w:t>多站点集中监控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输入：多站点组织树与权限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处理规则：按授权汇聚多站点运行总览与报警；支持站点切换与对比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输出：集控总览、站点排行、跨站报警列表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异常处理：单站点数据故障不影响其他站点展示</w:t>
      </w:r>
    </w:p>
    <w:bookmarkEnd w:id="36"/>
    <w:p w14:paraId="717178DE">
      <w:pPr>
        <w:pStyle w:val="5"/>
        <w:rPr>
          <w:color w:val="auto"/>
        </w:rPr>
      </w:pPr>
      <w:bookmarkStart w:id="37" w:name="报表引擎fr-rpt基线"/>
      <w:r>
        <w:rPr>
          <w:color w:val="auto"/>
        </w:rPr>
        <w:t xml:space="preserve">3.19 </w:t>
      </w:r>
      <w:r>
        <w:rPr>
          <w:rFonts w:hint="eastAsia"/>
          <w:color w:val="auto"/>
        </w:rPr>
        <w:t>报表引擎（FR-RPT，基线）</w:t>
      </w:r>
    </w:p>
    <w:p w14:paraId="091AD509">
      <w:pPr>
        <w:pStyle w:val="23"/>
        <w:rPr>
          <w:color w:val="auto"/>
        </w:rPr>
      </w:pPr>
      <w:r>
        <w:rPr>
          <w:b/>
          <w:bCs/>
          <w:color w:val="auto"/>
        </w:rPr>
        <w:t>FR-RPT-01　</w:t>
      </w:r>
      <w:r>
        <w:rPr>
          <w:rFonts w:hint="eastAsia"/>
          <w:b/>
          <w:bCs/>
          <w:color w:val="auto"/>
        </w:rPr>
        <w:t>报表引擎与模板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参与者：能源管理负责人、系统管理员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输入：数据集定义、模板（表头/公式/图表/周期）、订阅配置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处理规则：支持模板设计、定时生成（XXL-Job）、多格式导出（Excel/PDF）、订阅推送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输出：报表实例、导出文件、推送记录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异常处理：生成失败重试并告警；大数据量报表异步生成并通知下载</w:t>
      </w:r>
    </w:p>
    <w:bookmarkEnd w:id="37"/>
    <w:p w14:paraId="66458A05">
      <w:pPr>
        <w:pStyle w:val="5"/>
        <w:rPr>
          <w:color w:val="auto"/>
        </w:rPr>
      </w:pPr>
      <w:bookmarkStart w:id="38" w:name="系统集成与数据同步fr-int基线"/>
      <w:r>
        <w:rPr>
          <w:color w:val="auto"/>
        </w:rPr>
        <w:t xml:space="preserve">3.20 </w:t>
      </w:r>
      <w:r>
        <w:rPr>
          <w:rFonts w:hint="eastAsia"/>
          <w:color w:val="auto"/>
        </w:rPr>
        <w:t>系统集成与数据同步（FR-INT，基线）</w:t>
      </w:r>
    </w:p>
    <w:p w14:paraId="14AFCA03">
      <w:pPr>
        <w:pStyle w:val="23"/>
        <w:rPr>
          <w:color w:val="auto"/>
        </w:rPr>
      </w:pPr>
      <w:r>
        <w:rPr>
          <w:b/>
          <w:bCs/>
          <w:color w:val="auto"/>
        </w:rPr>
        <w:t>FR-INT-01　</w:t>
      </w:r>
      <w:r>
        <w:rPr>
          <w:rFonts w:hint="eastAsia"/>
          <w:b/>
          <w:bCs/>
          <w:color w:val="auto"/>
        </w:rPr>
        <w:t>集成接口与集成配置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参与者：IOT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运维、系统管理员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输入：接口定义（协议/地址/鉴权/字段映射）、集成配置、凭证（加密存储）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处理规则：按既有系统集成模块规范配置接口；支持启停、连通性测试与配置版本留存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输出：接口目录、测试结果、配置审计记录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异常处理：连通性失败明确区分网络/鉴权/报文错误</w:t>
      </w:r>
    </w:p>
    <w:p w14:paraId="15CEAEE0">
      <w:pPr>
        <w:pStyle w:val="3"/>
        <w:rPr>
          <w:color w:val="auto"/>
        </w:rPr>
      </w:pPr>
      <w:r>
        <w:rPr>
          <w:b/>
          <w:bCs/>
          <w:color w:val="auto"/>
        </w:rPr>
        <w:t>FR-INT-02　</w:t>
      </w:r>
      <w:r>
        <w:rPr>
          <w:rFonts w:hint="eastAsia"/>
          <w:b/>
          <w:bCs/>
          <w:color w:val="auto"/>
        </w:rPr>
        <w:t>同步任务、执行与同步引擎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输入：同步任务（源/目标/字段映射/周期/增量策略）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处理规则：同步引擎调度执行，记录成功/失败条数、耗时与错误摘要；支持手工触发与失败重跑；幂等写入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输出：任务列表、执行记录、重跑结果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异常处理：失败批次可定位、可重跑；连续失败按阈值告警并自动停用危险任务</w:t>
      </w:r>
    </w:p>
    <w:bookmarkEnd w:id="38"/>
    <w:p w14:paraId="4F68CFEE">
      <w:pPr>
        <w:pStyle w:val="5"/>
        <w:rPr>
          <w:color w:val="auto"/>
        </w:rPr>
      </w:pPr>
      <w:bookmarkStart w:id="39" w:name="医院智慧能源决策系统fr-hosp新增"/>
      <w:r>
        <w:rPr>
          <w:color w:val="auto"/>
        </w:rPr>
        <w:t xml:space="preserve">3.21 </w:t>
      </w:r>
      <w:r>
        <w:rPr>
          <w:rFonts w:hint="eastAsia"/>
          <w:color w:val="auto"/>
        </w:rPr>
        <w:t>医院智慧能源决策系统（FR-HOSP，新增）</w:t>
      </w:r>
    </w:p>
    <w:p w14:paraId="1E0525EA">
      <w:pPr>
        <w:pStyle w:val="13"/>
        <w:rPr>
          <w:color w:val="auto"/>
        </w:rPr>
      </w:pPr>
      <w:r>
        <w:rPr>
          <w:rFonts w:hint="eastAsia"/>
          <w:color w:val="auto"/>
        </w:rPr>
        <w:t>本节</w:t>
      </w:r>
      <w:r>
        <w:rPr>
          <w:color w:val="auto"/>
        </w:rPr>
        <w:t xml:space="preserve"> 20 </w:t>
      </w:r>
      <w:r>
        <w:rPr>
          <w:rFonts w:hint="eastAsia"/>
          <w:color w:val="auto"/>
        </w:rPr>
        <w:t>条需求为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新增核心范围，全部以加性方式实现，复用平台权限、字典、消息、审计与国际化框架。</w:t>
      </w:r>
    </w:p>
    <w:p w14:paraId="34924F39">
      <w:pPr>
        <w:pStyle w:val="6"/>
        <w:rPr>
          <w:color w:val="auto"/>
        </w:rPr>
      </w:pPr>
      <w:bookmarkStart w:id="40" w:name="fr-hosp-01-iot-http-回调接收-p0新增"/>
      <w:r>
        <w:rPr>
          <w:color w:val="auto"/>
        </w:rPr>
        <w:t xml:space="preserve">FR-HOSP-01　IOT HTTP </w:t>
      </w:r>
      <w:r>
        <w:rPr>
          <w:rFonts w:hint="eastAsia"/>
          <w:color w:val="auto"/>
        </w:rPr>
        <w:t>回调接收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2DD0232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平台（数据发送方）、IOT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</w:t>
      </w:r>
    </w:p>
    <w:p w14:paraId="3C278EE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前置条件：院区与接入配置已建立；回调地址已告知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平台；HTTPS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证书有效</w:t>
      </w:r>
    </w:p>
    <w:p w14:paraId="310F51C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POST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JSON </w:t>
      </w:r>
      <w:r>
        <w:rPr>
          <w:rFonts w:hint="eastAsia"/>
          <w:color w:val="auto"/>
        </w:rPr>
        <w:t>报文（单条或批量数据点），含设备标识、指标、值、时间戳、质量戳及厂商扩展字段</w:t>
      </w:r>
    </w:p>
    <w:p w14:paraId="330D8DE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20B4BB4A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提供独立回调端点，路径挂在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之下，医院模块独立路由；</w:t>
      </w:r>
    </w:p>
    <w:p w14:paraId="166E6F96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接入层无状态、可水平扩展，支持批量报文与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Keep-Alive；</w:t>
      </w:r>
    </w:p>
    <w:p w14:paraId="37FAF783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接收后先做基础校验（必填、大小上限、JSON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合法性），校验通过即投递消息队列并快速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ACK，目标吞吐</w:t>
      </w:r>
      <w:r>
        <w:rPr>
          <w:color w:val="auto"/>
        </w:rPr>
        <w:t xml:space="preserve"> ≥1000 </w:t>
      </w:r>
      <w:r>
        <w:rPr>
          <w:rFonts w:hint="eastAsia"/>
          <w:color w:val="auto"/>
        </w:rPr>
        <w:t>TPS；</w:t>
      </w:r>
    </w:p>
    <w:p w14:paraId="4522F3DF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采用异步处理，HTTP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工作线程不执行落库等重操作；</w:t>
      </w:r>
    </w:p>
    <w:p w14:paraId="29EADDA1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对同一数据点（设备标识+指标+时间戳）幂等，重复投递不产生重复数据；</w:t>
      </w:r>
    </w:p>
    <w:p w14:paraId="76BC061E">
      <w:pPr>
        <w:pStyle w:val="24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全量接收结果可在回调日志中查询（FR-HOSP-06）。</w:t>
      </w:r>
    </w:p>
    <w:p w14:paraId="5ED04DC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输出：标准化应答（接收编号/结果码/时间），HTTP</w:t>
      </w:r>
      <w:r>
        <w:rPr>
          <w:color w:val="auto"/>
        </w:rPr>
        <w:t xml:space="preserve"> 2xx </w:t>
      </w:r>
      <w:r>
        <w:rPr>
          <w:rFonts w:hint="eastAsia"/>
          <w:color w:val="auto"/>
        </w:rPr>
        <w:t>表示已受理；4xx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表示请求非法；5xx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表示平台暂不可用</w:t>
      </w:r>
    </w:p>
    <w:p w14:paraId="630E479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异常处理：报文超大/非法返回</w:t>
      </w:r>
      <w:r>
        <w:rPr>
          <w:color w:val="auto"/>
        </w:rPr>
        <w:t xml:space="preserve"> 4xx </w:t>
      </w:r>
      <w:r>
        <w:rPr>
          <w:rFonts w:hint="eastAsia"/>
          <w:color w:val="auto"/>
        </w:rPr>
        <w:t>并记录原因；队列不可用返回</w:t>
      </w:r>
      <w:r>
        <w:rPr>
          <w:color w:val="auto"/>
        </w:rPr>
        <w:t xml:space="preserve"> 5xx </w:t>
      </w:r>
      <w:r>
        <w:rPr>
          <w:rFonts w:hint="eastAsia"/>
          <w:color w:val="auto"/>
        </w:rPr>
        <w:t>由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平台重试；突发流量由队列削峰</w:t>
      </w:r>
    </w:p>
    <w:bookmarkEnd w:id="40"/>
    <w:p w14:paraId="12E768BB">
      <w:pPr>
        <w:pStyle w:val="6"/>
        <w:rPr>
          <w:color w:val="auto"/>
        </w:rPr>
      </w:pPr>
      <w:bookmarkStart w:id="41" w:name="fr-hosp-02-回调安全鉴权tokenip-白名单签名-p0新增"/>
      <w:r>
        <w:rPr>
          <w:color w:val="auto"/>
        </w:rPr>
        <w:t>FR-HOSP-02　</w:t>
      </w:r>
      <w:r>
        <w:rPr>
          <w:rFonts w:hint="eastAsia"/>
          <w:color w:val="auto"/>
        </w:rPr>
        <w:t>回调安全鉴权（Token/IP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白名单/签名）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4AC387F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平台、IOT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运维、系统管理员</w:t>
      </w:r>
    </w:p>
    <w:p w14:paraId="61AAFF5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前置条件：已为每个院区/IOT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数据源分配凭证</w:t>
      </w:r>
    </w:p>
    <w:p w14:paraId="2925185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输入：请求头中的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Token、签名、时间戳/随机数，来源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IP，原始报文体</w:t>
      </w:r>
    </w:p>
    <w:p w14:paraId="627D9C2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13FB3C22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color w:val="auto"/>
        </w:rPr>
        <w:t>支持</w:t>
      </w:r>
      <w:r>
        <w:rPr>
          <w:color w:val="auto"/>
        </w:rPr>
        <w:t xml:space="preserve"> Token、IP </w:t>
      </w:r>
      <w:r>
        <w:rPr>
          <w:rFonts w:hint="eastAsia"/>
          <w:color w:val="auto"/>
        </w:rPr>
        <w:t>白名单、签名三种校验方式，均可按院区独立配置与启停；</w:t>
      </w:r>
    </w:p>
    <w:p w14:paraId="771A2685">
      <w:pPr>
        <w:pStyle w:val="24"/>
        <w:numPr>
          <w:ilvl w:val="1"/>
          <w:numId w:val="5"/>
        </w:numPr>
        <w:rPr>
          <w:color w:val="auto"/>
        </w:rPr>
      </w:pPr>
      <w:r>
        <w:rPr>
          <w:color w:val="auto"/>
        </w:rPr>
        <w:t xml:space="preserve">Token </w:t>
      </w:r>
      <w:r>
        <w:rPr>
          <w:rFonts w:hint="eastAsia"/>
          <w:color w:val="auto"/>
        </w:rPr>
        <w:t>支持有效期与轮换，凭证加密存储；签名校验覆盖报文与时间戳，防篡改防重放（时间戳容差可配置，默认</w:t>
      </w:r>
      <w:r>
        <w:rPr>
          <w:color w:val="auto"/>
        </w:rPr>
        <w:t xml:space="preserve"> ±5 </w:t>
      </w:r>
      <w:r>
        <w:rPr>
          <w:rFonts w:hint="eastAsia"/>
          <w:color w:val="auto"/>
        </w:rPr>
        <w:t>分钟）；</w:t>
      </w:r>
    </w:p>
    <w:p w14:paraId="6AEF597A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color w:val="auto"/>
        </w:rPr>
        <w:t>鉴权失败一律拒绝并记录安全日志（来源、原因、摘要，不记录敏感全文）；</w:t>
      </w:r>
    </w:p>
    <w:p w14:paraId="3F17314A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color w:val="auto"/>
        </w:rPr>
        <w:t>连续失败达到阈值触发安全告警；</w:t>
      </w:r>
    </w:p>
    <w:p w14:paraId="4240F21F">
      <w:pPr>
        <w:pStyle w:val="24"/>
        <w:numPr>
          <w:ilvl w:val="1"/>
          <w:numId w:val="5"/>
        </w:numPr>
        <w:rPr>
          <w:color w:val="auto"/>
        </w:rPr>
      </w:pPr>
      <w:r>
        <w:rPr>
          <w:rFonts w:hint="eastAsia"/>
          <w:color w:val="auto"/>
        </w:rPr>
        <w:t>鉴权配置变更进入审计日志。</w:t>
      </w:r>
    </w:p>
    <w:p w14:paraId="36CA447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输出：鉴权通过/拒绝结果；安全审计记录</w:t>
      </w:r>
    </w:p>
    <w:p w14:paraId="1D0949F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异常处理：鉴权服务异常时默认拒绝（fail-close）；白名单配置错误导致的拒绝可在审计中定位</w:t>
      </w:r>
    </w:p>
    <w:bookmarkEnd w:id="41"/>
    <w:p w14:paraId="21354296">
      <w:pPr>
        <w:pStyle w:val="6"/>
        <w:rPr>
          <w:color w:val="auto"/>
        </w:rPr>
      </w:pPr>
      <w:bookmarkStart w:id="42" w:name="X021014f46a207befcfc28aa95a3fddb3fe95301"/>
      <w:r>
        <w:rPr>
          <w:color w:val="auto"/>
        </w:rPr>
        <w:t>FR-HOSP-03　</w:t>
      </w:r>
      <w:r>
        <w:rPr>
          <w:rFonts w:hint="eastAsia"/>
          <w:color w:val="auto"/>
        </w:rPr>
        <w:t>报文解析与标准化（StandardDataPoint）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3F61CAA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参与者：系统管理员（配置映射）、系统</w:t>
      </w:r>
    </w:p>
    <w:p w14:paraId="756C7D5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前置条件：设备台账与指标定义已存在</w:t>
      </w:r>
    </w:p>
    <w:p w14:paraId="0223D74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输入：厂商原始报文、字段映射规则、时区与单位换算配置</w:t>
      </w:r>
    </w:p>
    <w:p w14:paraId="7BC93F3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1B2185E5">
      <w:pPr>
        <w:pStyle w:val="24"/>
        <w:numPr>
          <w:ilvl w:val="1"/>
          <w:numId w:val="6"/>
        </w:numPr>
        <w:rPr>
          <w:color w:val="auto"/>
        </w:rPr>
      </w:pPr>
      <w:r>
        <w:rPr>
          <w:rFonts w:hint="eastAsia"/>
          <w:color w:val="auto"/>
        </w:rPr>
        <w:t>将厂商报文解析为统一标准数据点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StandardDataPoint：设备标识、指标编码、值、时间戳、质量戳（结构见附录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B）；</w:t>
      </w:r>
    </w:p>
    <w:p w14:paraId="03EF4D5A">
      <w:pPr>
        <w:pStyle w:val="24"/>
        <w:numPr>
          <w:ilvl w:val="1"/>
          <w:numId w:val="6"/>
        </w:numPr>
        <w:rPr>
          <w:color w:val="auto"/>
        </w:rPr>
      </w:pPr>
      <w:r>
        <w:rPr>
          <w:rFonts w:hint="eastAsia"/>
          <w:color w:val="auto"/>
        </w:rPr>
        <w:t>设备标识与指标编码按映射表转换；时间戳统一归一为带时区的标准时间并落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UTC；值按单位换算规则归一；</w:t>
      </w:r>
    </w:p>
    <w:p w14:paraId="1E012E74">
      <w:pPr>
        <w:pStyle w:val="24"/>
        <w:numPr>
          <w:ilvl w:val="1"/>
          <w:numId w:val="6"/>
        </w:numPr>
        <w:rPr>
          <w:color w:val="auto"/>
        </w:rPr>
      </w:pPr>
      <w:r>
        <w:rPr>
          <w:rFonts w:hint="eastAsia"/>
          <w:color w:val="auto"/>
        </w:rPr>
        <w:t>质量戳字典映射为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GOOD/UNCERTAIN/BAD/MISSING；非</w:t>
      </w:r>
      <w:r>
        <w:rPr>
          <w:color w:val="auto"/>
        </w:rPr>
        <w:t xml:space="preserve"> GOOD </w:t>
      </w:r>
      <w:r>
        <w:rPr>
          <w:rFonts w:hint="eastAsia"/>
          <w:color w:val="auto"/>
        </w:rPr>
        <w:t>数据原始保留但默认不进入统计聚合；</w:t>
      </w:r>
    </w:p>
    <w:p w14:paraId="081AF06E">
      <w:pPr>
        <w:pStyle w:val="24"/>
        <w:numPr>
          <w:ilvl w:val="1"/>
          <w:numId w:val="6"/>
        </w:numPr>
        <w:rPr>
          <w:color w:val="auto"/>
        </w:rPr>
      </w:pPr>
      <w:r>
        <w:rPr>
          <w:rFonts w:hint="eastAsia"/>
          <w:color w:val="auto"/>
        </w:rPr>
        <w:t>无法识别的设备/指标进入”未映射数据”隔离区，不影响其他数据处理，并支持后续补映射后重放；</w:t>
      </w:r>
    </w:p>
    <w:p w14:paraId="2DDE5773">
      <w:pPr>
        <w:pStyle w:val="24"/>
        <w:numPr>
          <w:ilvl w:val="1"/>
          <w:numId w:val="6"/>
        </w:numPr>
        <w:rPr>
          <w:color w:val="auto"/>
        </w:rPr>
      </w:pPr>
      <w:r>
        <w:rPr>
          <w:rFonts w:hint="eastAsia"/>
          <w:color w:val="auto"/>
        </w:rPr>
        <w:t>解析规则版本化，变更可追溯。</w:t>
      </w:r>
    </w:p>
    <w:p w14:paraId="033DF6E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输出：标准数据点消息；未映射隔离清单；解析失败明细</w:t>
      </w:r>
    </w:p>
    <w:p w14:paraId="3CBD33D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异常处理：单条解析失败不影响同批次其他数据点；批量报文部分失败时返回分项计数</w:t>
      </w:r>
    </w:p>
    <w:bookmarkEnd w:id="42"/>
    <w:p w14:paraId="066A5955">
      <w:pPr>
        <w:pStyle w:val="6"/>
        <w:rPr>
          <w:color w:val="auto"/>
        </w:rPr>
      </w:pPr>
      <w:bookmarkStart w:id="43" w:name="fr-hosp-04-异步落库mysql-tdengine-p0新增"/>
      <w:r>
        <w:rPr>
          <w:color w:val="auto"/>
        </w:rPr>
        <w:t>FR-HOSP-04　</w:t>
      </w:r>
      <w:r>
        <w:rPr>
          <w:rFonts w:hint="eastAsia"/>
          <w:color w:val="auto"/>
        </w:rPr>
        <w:t>异步落库（MySQL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TDengine）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67C4DC5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参与者：系统</w:t>
      </w:r>
    </w:p>
    <w:p w14:paraId="7BE2311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前置条件：消息队列可用；数据源与存储配置就绪</w:t>
      </w:r>
    </w:p>
    <w:p w14:paraId="23BA5BC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输入：队列中的</w:t>
      </w:r>
      <w:r>
        <w:rPr>
          <w:color w:val="auto"/>
        </w:rPr>
        <w:t xml:space="preserve"> StandardDataPoint</w:t>
      </w:r>
    </w:p>
    <w:p w14:paraId="7E5C7E9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1E87123F">
      <w:pPr>
        <w:pStyle w:val="24"/>
        <w:numPr>
          <w:ilvl w:val="1"/>
          <w:numId w:val="7"/>
        </w:numPr>
        <w:rPr>
          <w:color w:val="auto"/>
        </w:rPr>
      </w:pPr>
      <w:r>
        <w:rPr>
          <w:rFonts w:hint="eastAsia"/>
          <w:color w:val="auto"/>
        </w:rPr>
        <w:t>消费</w:t>
      </w:r>
      <w:r>
        <w:rPr>
          <w:color w:val="auto"/>
        </w:rPr>
        <w:t xml:space="preserve"> RabbitMQ </w:t>
      </w:r>
      <w:r>
        <w:rPr>
          <w:rFonts w:hint="eastAsia"/>
          <w:color w:val="auto"/>
        </w:rPr>
        <w:t>消息，原始报文归档，标准数据写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MySQL（最新值/业务关联）与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TDengine（历史时序）；</w:t>
      </w:r>
    </w:p>
    <w:p w14:paraId="084D1E91">
      <w:pPr>
        <w:pStyle w:val="24"/>
        <w:numPr>
          <w:ilvl w:val="1"/>
          <w:numId w:val="7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开关开启时双写；</w:t>
      </w:r>
      <w:r>
        <w:rPr>
          <w:rStyle w:val="48"/>
          <w:color w:val="auto"/>
        </w:rPr>
        <w:t>td.enabled=false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时自动降级写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时序表，链路功能不缺失；</w:t>
      </w:r>
    </w:p>
    <w:p w14:paraId="6C81AE27">
      <w:pPr>
        <w:pStyle w:val="24"/>
        <w:numPr>
          <w:ilvl w:val="1"/>
          <w:numId w:val="7"/>
        </w:numPr>
        <w:rPr>
          <w:color w:val="auto"/>
        </w:rPr>
      </w:pPr>
      <w:r>
        <w:rPr>
          <w:rFonts w:hint="eastAsia"/>
          <w:color w:val="auto"/>
        </w:rPr>
        <w:t>消费端按院区/批量提交，控制批次大小与并发，保证落库顺序在同设备指标内基本有序；</w:t>
      </w:r>
    </w:p>
    <w:p w14:paraId="1BDACA6A">
      <w:pPr>
        <w:pStyle w:val="24"/>
        <w:numPr>
          <w:ilvl w:val="1"/>
          <w:numId w:val="7"/>
        </w:numPr>
        <w:rPr>
          <w:color w:val="auto"/>
        </w:rPr>
      </w:pPr>
      <w:r>
        <w:rPr>
          <w:rFonts w:hint="eastAsia"/>
          <w:color w:val="auto"/>
        </w:rPr>
        <w:t>写入幂等（设备+指标+时间戳去重）；</w:t>
      </w:r>
    </w:p>
    <w:p w14:paraId="429C8489">
      <w:pPr>
        <w:pStyle w:val="24"/>
        <w:numPr>
          <w:ilvl w:val="1"/>
          <w:numId w:val="7"/>
        </w:numPr>
        <w:rPr>
          <w:color w:val="auto"/>
        </w:rPr>
      </w:pPr>
      <w:r>
        <w:rPr>
          <w:rFonts w:hint="eastAsia"/>
          <w:color w:val="auto"/>
        </w:rPr>
        <w:t>最新值缓存至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供实时监测高频读取。</w:t>
      </w:r>
    </w:p>
    <w:p w14:paraId="0A40045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输出：可查询的历史时序数据、设备最新状态</w:t>
      </w:r>
    </w:p>
    <w:p w14:paraId="1AF612A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异常处理：单批失败整体重试；存储故障时消息回到队列并触发积压告警，不</w:t>
      </w:r>
      <w:r>
        <w:rPr>
          <w:color w:val="auto"/>
        </w:rPr>
        <w:t xml:space="preserve"> ACK </w:t>
      </w:r>
      <w:r>
        <w:rPr>
          <w:rFonts w:hint="eastAsia"/>
          <w:color w:val="auto"/>
        </w:rPr>
        <w:t>丢失</w:t>
      </w:r>
    </w:p>
    <w:bookmarkEnd w:id="43"/>
    <w:p w14:paraId="412D5FCF">
      <w:pPr>
        <w:pStyle w:val="6"/>
        <w:rPr>
          <w:color w:val="auto"/>
        </w:rPr>
      </w:pPr>
      <w:bookmarkStart w:id="44" w:name="fr-hosp-05-失败重试与可靠补偿不丢数-p0新增"/>
      <w:r>
        <w:rPr>
          <w:color w:val="auto"/>
        </w:rPr>
        <w:t>FR-HOSP-05　</w:t>
      </w:r>
      <w:r>
        <w:rPr>
          <w:rFonts w:hint="eastAsia"/>
          <w:color w:val="auto"/>
        </w:rPr>
        <w:t>失败重试与可靠补偿（不丢数）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12EF520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参与者：系统、IOT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</w:t>
      </w:r>
    </w:p>
    <w:p w14:paraId="1A160C5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前置条件：消息与死信机制可用</w:t>
      </w:r>
    </w:p>
    <w:p w14:paraId="583FF17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输入：处理失败的数据点消息</w:t>
      </w:r>
    </w:p>
    <w:p w14:paraId="0B82542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0A7F7B6D">
      <w:pPr>
        <w:pStyle w:val="24"/>
        <w:numPr>
          <w:ilvl w:val="1"/>
          <w:numId w:val="8"/>
        </w:numPr>
        <w:rPr>
          <w:color w:val="auto"/>
        </w:rPr>
      </w:pPr>
      <w:r>
        <w:rPr>
          <w:rFonts w:hint="eastAsia"/>
          <w:color w:val="auto"/>
        </w:rPr>
        <w:t>消费失败按指数退避重试（次数、间隔可配）；超过阈值转入死信队列；</w:t>
      </w:r>
    </w:p>
    <w:p w14:paraId="29D2BCD8">
      <w:pPr>
        <w:pStyle w:val="24"/>
        <w:numPr>
          <w:ilvl w:val="1"/>
          <w:numId w:val="8"/>
        </w:numPr>
        <w:rPr>
          <w:color w:val="auto"/>
        </w:rPr>
      </w:pPr>
      <w:r>
        <w:rPr>
          <w:rFonts w:hint="eastAsia"/>
          <w:color w:val="auto"/>
        </w:rPr>
        <w:t>死信数据保留原始报文与失败原因，支持运维在管理端查看、修复（如补映射、补配置）后一键重放；</w:t>
      </w:r>
    </w:p>
    <w:p w14:paraId="634B862D">
      <w:pPr>
        <w:pStyle w:val="24"/>
        <w:numPr>
          <w:ilvl w:val="1"/>
          <w:numId w:val="8"/>
        </w:numPr>
        <w:rPr>
          <w:color w:val="auto"/>
        </w:rPr>
      </w:pPr>
      <w:r>
        <w:rPr>
          <w:rFonts w:hint="eastAsia"/>
          <w:color w:val="auto"/>
        </w:rPr>
        <w:t>提供回调接收与落库的对账能力（按时间窗/院区统计接收数、入库数、失败数）；</w:t>
      </w:r>
    </w:p>
    <w:p w14:paraId="2F99EC1D">
      <w:pPr>
        <w:pStyle w:val="24"/>
        <w:numPr>
          <w:ilvl w:val="1"/>
          <w:numId w:val="8"/>
        </w:numPr>
        <w:rPr>
          <w:color w:val="auto"/>
        </w:rPr>
      </w:pPr>
      <w:r>
        <w:rPr>
          <w:rFonts w:hint="eastAsia"/>
          <w:color w:val="auto"/>
        </w:rPr>
        <w:t>任何环节不得静默丢弃数据；IOT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平台重推同一数据点时幂等；</w:t>
      </w:r>
    </w:p>
    <w:p w14:paraId="7FA7CE26">
      <w:pPr>
        <w:pStyle w:val="24"/>
        <w:numPr>
          <w:ilvl w:val="1"/>
          <w:numId w:val="8"/>
        </w:numPr>
        <w:rPr>
          <w:color w:val="auto"/>
        </w:rPr>
      </w:pPr>
      <w:r>
        <w:rPr>
          <w:color w:val="auto"/>
        </w:rPr>
        <w:t xml:space="preserve">RPO </w:t>
      </w:r>
      <w:r>
        <w:rPr>
          <w:rFonts w:hint="eastAsia"/>
          <w:color w:val="auto"/>
        </w:rPr>
        <w:t>目标：不丢数据（RPO=0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的业务承诺，至少做到可补偿重建）。</w:t>
      </w:r>
    </w:p>
    <w:p w14:paraId="115DD2B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输出：重试记录、死信列表、重放结果、对账报表</w:t>
      </w:r>
    </w:p>
    <w:p w14:paraId="7C766A7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异常处理：死信积压超阈值告警；重放失败保留状态并允许再次处理</w:t>
      </w:r>
    </w:p>
    <w:bookmarkEnd w:id="44"/>
    <w:p w14:paraId="5F2C9878">
      <w:pPr>
        <w:pStyle w:val="6"/>
        <w:rPr>
          <w:color w:val="auto"/>
        </w:rPr>
      </w:pPr>
      <w:bookmarkStart w:id="45" w:name="fr-hosp-06-回调日志-p0新增"/>
      <w:r>
        <w:rPr>
          <w:color w:val="auto"/>
        </w:rPr>
        <w:t>FR-HOSP-06　</w:t>
      </w:r>
      <w:r>
        <w:rPr>
          <w:rFonts w:hint="eastAsia"/>
          <w:color w:val="auto"/>
        </w:rPr>
        <w:t>回调日志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1399484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运维、系统管理员</w:t>
      </w:r>
    </w:p>
    <w:p w14:paraId="0ECCBBA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输入：每次回调请求与处理结果</w:t>
      </w:r>
    </w:p>
    <w:p w14:paraId="6CF6E23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处理规则：记录请求时间、来源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IP、院区/数据源、报文摘要与大小、鉴权结果、解析计数、落库计数、耗时、应答码、错误原因；原始报文按保留策略可查（受控权限、脱敏展示）；支持按院区/时间/结果检索与统计</w:t>
      </w:r>
    </w:p>
    <w:p w14:paraId="59A28BC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输出：回调日志列表、详情、成功率/耗时统计</w:t>
      </w:r>
    </w:p>
    <w:p w14:paraId="0B38E05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异常处理：日志写入失败不得影响主链路（异步落盘/降级），但须告警</w:t>
      </w:r>
    </w:p>
    <w:bookmarkEnd w:id="45"/>
    <w:p w14:paraId="7FF76747">
      <w:pPr>
        <w:pStyle w:val="6"/>
        <w:rPr>
          <w:color w:val="auto"/>
        </w:rPr>
      </w:pPr>
      <w:bookmarkStart w:id="46" w:name="fr-hosp-07-检查检验设备台账-p0新增"/>
      <w:r>
        <w:rPr>
          <w:color w:val="auto"/>
        </w:rPr>
        <w:t>FR-HOSP-07　</w:t>
      </w:r>
      <w:r>
        <w:rPr>
          <w:rFonts w:hint="eastAsia"/>
          <w:color w:val="auto"/>
        </w:rPr>
        <w:t>检查检验设备台账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5C82E4D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参与者：设备科/后勤、系统管理员</w:t>
      </w:r>
    </w:p>
    <w:p w14:paraId="284DBB6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前置条件：院区/分区已建立</w:t>
      </w:r>
    </w:p>
    <w:p w14:paraId="08A4F5F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输入：设备类别（CT/MRI/DR/超声/检验流水线/DSA）、设备编号、品牌型号、序列号、额定功率/参数、所属院区/分区/科室、位置、投运日期、厂商、维保信息、IOT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设备标识映射、状态</w:t>
      </w:r>
    </w:p>
    <w:p w14:paraId="24AFD3B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68B4C8EF">
      <w:pPr>
        <w:pStyle w:val="24"/>
        <w:numPr>
          <w:ilvl w:val="1"/>
          <w:numId w:val="9"/>
        </w:numPr>
        <w:rPr>
          <w:color w:val="auto"/>
        </w:rPr>
      </w:pPr>
      <w:r>
        <w:rPr>
          <w:rFonts w:hint="eastAsia"/>
          <w:color w:val="auto"/>
        </w:rPr>
        <w:t>独立医院设备表（独立表前缀），与平台通用设备档案可建立关联但不修改其结构；</w:t>
      </w:r>
    </w:p>
    <w:p w14:paraId="732493BD">
      <w:pPr>
        <w:pStyle w:val="24"/>
        <w:numPr>
          <w:ilvl w:val="1"/>
          <w:numId w:val="9"/>
        </w:numPr>
        <w:rPr>
          <w:color w:val="auto"/>
        </w:rPr>
      </w:pPr>
      <w:r>
        <w:rPr>
          <w:rFonts w:hint="eastAsia"/>
          <w:color w:val="auto"/>
        </w:rPr>
        <w:t>设备编号唯一、雪花主键、逻辑删除；支持批量导入导出；</w:t>
      </w:r>
    </w:p>
    <w:p w14:paraId="7B227514">
      <w:pPr>
        <w:pStyle w:val="24"/>
        <w:numPr>
          <w:ilvl w:val="1"/>
          <w:numId w:val="9"/>
        </w:numPr>
        <w:rPr>
          <w:color w:val="auto"/>
        </w:rPr>
      </w:pPr>
      <w:r>
        <w:rPr>
          <w:rFonts w:hint="eastAsia"/>
          <w:color w:val="auto"/>
        </w:rPr>
        <w:t>一台设备绑定一个或多个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设备标识，绑定关系影响回调数据归属；</w:t>
      </w:r>
    </w:p>
    <w:p w14:paraId="33C8C989">
      <w:pPr>
        <w:pStyle w:val="24"/>
        <w:numPr>
          <w:ilvl w:val="1"/>
          <w:numId w:val="9"/>
        </w:numPr>
        <w:rPr>
          <w:color w:val="auto"/>
        </w:rPr>
      </w:pPr>
      <w:r>
        <w:rPr>
          <w:rFonts w:hint="eastAsia"/>
          <w:color w:val="auto"/>
        </w:rPr>
        <w:t>支持设备全生命周期状态（在用/停用/维修/报废）与变更留痕；</w:t>
      </w:r>
    </w:p>
    <w:p w14:paraId="62EDC2E5">
      <w:pPr>
        <w:pStyle w:val="24"/>
        <w:numPr>
          <w:ilvl w:val="1"/>
          <w:numId w:val="9"/>
        </w:numPr>
        <w:rPr>
          <w:color w:val="auto"/>
        </w:rPr>
      </w:pPr>
      <w:r>
        <w:rPr>
          <w:rFonts w:hint="eastAsia"/>
          <w:color w:val="auto"/>
        </w:rPr>
        <w:t>台账字段随多语言框架提供中英文标签。</w:t>
      </w:r>
    </w:p>
    <w:p w14:paraId="3A64933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输出：设备台账列表/详情、导入结果、设备—标识映射表</w:t>
      </w:r>
    </w:p>
    <w:p w14:paraId="4512953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异常处理：导入冲突行明细返回；停用/报废设备的数据继续入库但不参与在役统计并单独标注</w:t>
      </w:r>
    </w:p>
    <w:bookmarkEnd w:id="46"/>
    <w:p w14:paraId="7327B947">
      <w:pPr>
        <w:pStyle w:val="6"/>
        <w:rPr>
          <w:color w:val="auto"/>
        </w:rPr>
      </w:pPr>
      <w:bookmarkStart w:id="47" w:name="fr-hosp-08-指标定义管理-p0新增"/>
      <w:r>
        <w:rPr>
          <w:color w:val="auto"/>
        </w:rPr>
        <w:t>FR-HOSP-08　</w:t>
      </w:r>
      <w:r>
        <w:rPr>
          <w:rFonts w:hint="eastAsia"/>
          <w:color w:val="auto"/>
        </w:rPr>
        <w:t>指标定义管理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71C33E8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参与者：能源管理负责人、系统管理员</w:t>
      </w:r>
    </w:p>
    <w:p w14:paraId="0B0232D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输入：指标编码、名称（中/英）、类别（运行状态/工作量/能耗功率/环境质量）、单位、数据类型、量纲换算、质量戳策略、统计口径、启停状态</w:t>
      </w:r>
    </w:p>
    <w:p w14:paraId="5C69CE6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处理规则：指标统一定义、全院区共享；支持指标分组与厂商指标映射；工作量指标（如检查次数、扫描序列数）明确口径与单位；指标变更版本化，历史数据按当时口径留存</w:t>
      </w:r>
    </w:p>
    <w:p w14:paraId="59A0DDA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输出：指标目录、映射关系、口径说明</w:t>
      </w:r>
    </w:p>
    <w:p w14:paraId="4F420BC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异常处理：停用指标不再参与新配置但历史可查；删除被引用指标被阻止</w:t>
      </w:r>
    </w:p>
    <w:bookmarkEnd w:id="47"/>
    <w:p w14:paraId="3223FD89">
      <w:pPr>
        <w:pStyle w:val="6"/>
        <w:rPr>
          <w:color w:val="auto"/>
        </w:rPr>
      </w:pPr>
      <w:bookmarkStart w:id="48" w:name="fr-hosp-09-院区与分区管理-p0新增"/>
      <w:r>
        <w:rPr>
          <w:color w:val="auto"/>
        </w:rPr>
        <w:t>FR-HOSP-09　</w:t>
      </w:r>
      <w:r>
        <w:rPr>
          <w:rFonts w:hint="eastAsia"/>
          <w:color w:val="auto"/>
        </w:rPr>
        <w:t>院区与分区管理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50676ED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参与者：系统管理员</w:t>
      </w:r>
    </w:p>
    <w:p w14:paraId="178B61A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输入：院区（名称、编码、时区、语言、凭证）、物理分区（楼层/区域）、科室归属</w:t>
      </w:r>
    </w:p>
    <w:p w14:paraId="3F96B7A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处理规则：维护”院区—分区—科室—设备”层级；院区配置独立时区与回调凭证；分区可绑定计量表计与设备，作为分区能耗核算基础；层级调整对历史数据按快照保留</w:t>
      </w:r>
    </w:p>
    <w:p w14:paraId="7A58EA5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输出：院区/分区树、配置详情</w:t>
      </w:r>
    </w:p>
    <w:p w14:paraId="62C91C6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异常处理：删除下挂设备的院区/分区被阻止；时区变更影响新数据展示口径并给出确认提示</w:t>
      </w:r>
    </w:p>
    <w:bookmarkEnd w:id="48"/>
    <w:p w14:paraId="158C3EA8">
      <w:pPr>
        <w:pStyle w:val="6"/>
        <w:rPr>
          <w:color w:val="auto"/>
        </w:rPr>
      </w:pPr>
      <w:bookmarkStart w:id="49" w:name="fr-hosp-10-设备实时监测-p0新增"/>
      <w:r>
        <w:rPr>
          <w:color w:val="auto"/>
        </w:rPr>
        <w:t>FR-HOSP-10　</w:t>
      </w:r>
      <w:r>
        <w:rPr>
          <w:rFonts w:hint="eastAsia"/>
          <w:color w:val="auto"/>
        </w:rPr>
        <w:t>设备实时监测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1D84189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参与者：设备科/后勤、值班人员、能源管理负责人</w:t>
      </w:r>
    </w:p>
    <w:p w14:paraId="58E8531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前置条件：设备、指标映射完成且有实时数据</w:t>
      </w:r>
    </w:p>
    <w:p w14:paraId="0444301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输入：院区/分区/设备/指标筛选</w:t>
      </w:r>
    </w:p>
    <w:p w14:paraId="1BA512E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1C038428">
      <w:pPr>
        <w:pStyle w:val="24"/>
        <w:numPr>
          <w:ilvl w:val="1"/>
          <w:numId w:val="10"/>
        </w:numPr>
        <w:rPr>
          <w:color w:val="auto"/>
        </w:rPr>
      </w:pPr>
      <w:r>
        <w:rPr>
          <w:rFonts w:hint="eastAsia"/>
          <w:color w:val="auto"/>
        </w:rPr>
        <w:t>展示设备当前工况（工作/待机/关机/离线）、关键指标最新值、质量戳与数据时间；</w:t>
      </w:r>
    </w:p>
    <w:p w14:paraId="388263F3">
      <w:pPr>
        <w:pStyle w:val="24"/>
        <w:numPr>
          <w:ilvl w:val="1"/>
          <w:numId w:val="10"/>
        </w:numPr>
        <w:rPr>
          <w:color w:val="auto"/>
        </w:rPr>
      </w:pPr>
      <w:r>
        <w:rPr>
          <w:rFonts w:hint="eastAsia"/>
          <w:color w:val="auto"/>
        </w:rPr>
        <w:t>支持列表总览与单设备详情（实时曲线、属性、回调状态）；</w:t>
      </w:r>
    </w:p>
    <w:p w14:paraId="19663033">
      <w:pPr>
        <w:pStyle w:val="24"/>
        <w:numPr>
          <w:ilvl w:val="1"/>
          <w:numId w:val="10"/>
        </w:numPr>
        <w:rPr>
          <w:color w:val="auto"/>
        </w:rPr>
      </w:pPr>
      <w:r>
        <w:rPr>
          <w:rFonts w:hint="eastAsia"/>
          <w:color w:val="auto"/>
        </w:rPr>
        <w:t>数据时间超时未更新判为”离线/通讯异常”并提示；</w:t>
      </w:r>
    </w:p>
    <w:p w14:paraId="5D0AC70F">
      <w:pPr>
        <w:pStyle w:val="24"/>
        <w:numPr>
          <w:ilvl w:val="1"/>
          <w:numId w:val="10"/>
        </w:numPr>
        <w:rPr>
          <w:color w:val="auto"/>
        </w:rPr>
      </w:pPr>
      <w:r>
        <w:rPr>
          <w:rFonts w:hint="eastAsia"/>
          <w:color w:val="auto"/>
        </w:rPr>
        <w:t>支持按院区数据权限过滤；页面刷新与缓存结合，保证</w:t>
      </w:r>
      <w:r>
        <w:rPr>
          <w:color w:val="auto"/>
        </w:rPr>
        <w:t xml:space="preserve"> P95 </w:t>
      </w:r>
      <w:r>
        <w:rPr>
          <w:rFonts w:hint="eastAsia"/>
          <w:color w:val="auto"/>
        </w:rPr>
        <w:t>≤1s；</w:t>
      </w:r>
    </w:p>
    <w:p w14:paraId="6D9D7D3A">
      <w:pPr>
        <w:pStyle w:val="24"/>
        <w:numPr>
          <w:ilvl w:val="1"/>
          <w:numId w:val="10"/>
        </w:numPr>
        <w:rPr>
          <w:color w:val="auto"/>
        </w:rPr>
      </w:pPr>
      <w:r>
        <w:rPr>
          <w:rFonts w:hint="eastAsia"/>
          <w:color w:val="auto"/>
        </w:rPr>
        <w:t>提供中英文界面。</w:t>
      </w:r>
    </w:p>
    <w:p w14:paraId="1366317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输出：实时监测总览、设备监测详情</w:t>
      </w:r>
    </w:p>
    <w:p w14:paraId="0FA158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异常处理：缓存失效回源限流；单设备故障不影响列表；显式区分”无数据”“质量差”“设备离线”</w:t>
      </w:r>
    </w:p>
    <w:bookmarkEnd w:id="49"/>
    <w:p w14:paraId="72235180">
      <w:pPr>
        <w:pStyle w:val="6"/>
        <w:rPr>
          <w:color w:val="auto"/>
        </w:rPr>
      </w:pPr>
      <w:bookmarkStart w:id="50" w:name="fr-hosp-11-设备工作量统计-p1新增"/>
      <w:r>
        <w:rPr>
          <w:color w:val="auto"/>
        </w:rPr>
        <w:t>FR-HOSP-11　</w:t>
      </w:r>
      <w:r>
        <w:rPr>
          <w:rFonts w:hint="eastAsia"/>
          <w:color w:val="auto"/>
        </w:rPr>
        <w:t>设备工作量统计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4655C59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参与者：能源管理负责人、决策层</w:t>
      </w:r>
    </w:p>
    <w:p w14:paraId="62020A5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输入：工作量指标数据、统计周期、院区/分区/设备</w:t>
      </w:r>
    </w:p>
    <w:p w14:paraId="509C3E6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处理规则：按日/周/月/年汇总各设备工作量（检查/扫描次数、序列数、工作时长等可得口径）；区分工作与待机时长；工作量缺失或质量戳非</w:t>
      </w:r>
      <w:r>
        <w:rPr>
          <w:color w:val="auto"/>
        </w:rPr>
        <w:t xml:space="preserve"> GOOD </w:t>
      </w:r>
      <w:r>
        <w:rPr>
          <w:rFonts w:hint="eastAsia"/>
          <w:color w:val="auto"/>
        </w:rPr>
        <w:t>时标注估算/缺失；支持同比环比与导出</w:t>
      </w:r>
    </w:p>
    <w:p w14:paraId="08254B5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输出：工作量统计表、趋势图、设备排行</w:t>
      </w:r>
    </w:p>
    <w:p w14:paraId="70C24AB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异常处理：口径未定义的设备不参与排名并提示配置</w:t>
      </w:r>
    </w:p>
    <w:bookmarkEnd w:id="50"/>
    <w:p w14:paraId="0D0E5993">
      <w:pPr>
        <w:pStyle w:val="6"/>
        <w:rPr>
          <w:color w:val="auto"/>
        </w:rPr>
      </w:pPr>
      <w:bookmarkStart w:id="51" w:name="fr-hosp-12-设备能效评估-p1新增"/>
      <w:r>
        <w:rPr>
          <w:color w:val="auto"/>
        </w:rPr>
        <w:t>FR-HOSP-12　</w:t>
      </w:r>
      <w:r>
        <w:rPr>
          <w:rFonts w:hint="eastAsia"/>
          <w:color w:val="auto"/>
        </w:rPr>
        <w:t>设备能效评估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7CBD148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参与者：能源管理负责人、决策层</w:t>
      </w:r>
    </w:p>
    <w:p w14:paraId="6F0C625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前置条件：能耗数据与工作量数据口径可用</w:t>
      </w:r>
    </w:p>
    <w:p w14:paraId="6379747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输入：评估周期、设备范围、标杆/基准（历史均值/定额/同类标杆）</w:t>
      </w:r>
    </w:p>
    <w:p w14:paraId="6075818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1A8C7718">
      <w:pPr>
        <w:pStyle w:val="24"/>
        <w:numPr>
          <w:ilvl w:val="1"/>
          <w:numId w:val="11"/>
        </w:numPr>
        <w:rPr>
          <w:color w:val="auto"/>
        </w:rPr>
      </w:pPr>
      <w:r>
        <w:rPr>
          <w:rFonts w:hint="eastAsia"/>
          <w:color w:val="auto"/>
        </w:rPr>
        <w:t>计算单位工作量能耗、待机能耗占比、工作/待机功率特征等能效指标；</w:t>
      </w:r>
    </w:p>
    <w:p w14:paraId="73E36370">
      <w:pPr>
        <w:pStyle w:val="24"/>
        <w:numPr>
          <w:ilvl w:val="1"/>
          <w:numId w:val="11"/>
        </w:numPr>
        <w:rPr>
          <w:color w:val="auto"/>
        </w:rPr>
      </w:pPr>
      <w:r>
        <w:rPr>
          <w:rFonts w:hint="eastAsia"/>
          <w:color w:val="auto"/>
        </w:rPr>
        <w:t>支持同类设备横向排名、自身纵向对比与标杆对标，输出能效等级；</w:t>
      </w:r>
    </w:p>
    <w:p w14:paraId="4BAE003E">
      <w:pPr>
        <w:pStyle w:val="24"/>
        <w:numPr>
          <w:ilvl w:val="1"/>
          <w:numId w:val="11"/>
        </w:numPr>
        <w:rPr>
          <w:color w:val="auto"/>
        </w:rPr>
      </w:pPr>
      <w:r>
        <w:rPr>
          <w:rFonts w:hint="eastAsia"/>
          <w:color w:val="auto"/>
        </w:rPr>
        <w:t>评估模型与权重可配置，结果可解释（给出参与计算的数据范围与剔除项）；</w:t>
      </w:r>
    </w:p>
    <w:p w14:paraId="1AEAE6D6">
      <w:pPr>
        <w:pStyle w:val="24"/>
        <w:numPr>
          <w:ilvl w:val="1"/>
          <w:numId w:val="11"/>
        </w:numPr>
        <w:rPr>
          <w:color w:val="auto"/>
        </w:rPr>
      </w:pPr>
      <w:r>
        <w:rPr>
          <w:rFonts w:hint="eastAsia"/>
          <w:color w:val="auto"/>
        </w:rPr>
        <w:t>非</w:t>
      </w:r>
      <w:r>
        <w:rPr>
          <w:color w:val="auto"/>
        </w:rPr>
        <w:t xml:space="preserve"> GOOD </w:t>
      </w:r>
      <w:r>
        <w:rPr>
          <w:rFonts w:hint="eastAsia"/>
          <w:color w:val="auto"/>
        </w:rPr>
        <w:t>质量数据与离线时段剔除并记录；</w:t>
      </w:r>
    </w:p>
    <w:p w14:paraId="13832B8B">
      <w:pPr>
        <w:pStyle w:val="24"/>
        <w:numPr>
          <w:ilvl w:val="1"/>
          <w:numId w:val="11"/>
        </w:numPr>
        <w:rPr>
          <w:color w:val="auto"/>
        </w:rPr>
      </w:pPr>
      <w:r>
        <w:rPr>
          <w:rFonts w:hint="eastAsia"/>
          <w:color w:val="auto"/>
        </w:rPr>
        <w:t>支持导出评估报告（对接报表引擎）。</w:t>
      </w:r>
    </w:p>
    <w:p w14:paraId="2E03475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输出：能效评估报告、排行榜、异常高耗设备清单</w:t>
      </w:r>
    </w:p>
    <w:p w14:paraId="6FDA302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异常处理：样本量不足时不出评级，只给参考值并说明</w:t>
      </w:r>
    </w:p>
    <w:bookmarkEnd w:id="51"/>
    <w:p w14:paraId="435831C5">
      <w:pPr>
        <w:pStyle w:val="6"/>
        <w:rPr>
          <w:color w:val="auto"/>
        </w:rPr>
      </w:pPr>
      <w:bookmarkStart w:id="52" w:name="fr-hosp-13-分区能耗分析-p1新增"/>
      <w:r>
        <w:rPr>
          <w:color w:val="auto"/>
        </w:rPr>
        <w:t>FR-HOSP-13　</w:t>
      </w:r>
      <w:r>
        <w:rPr>
          <w:rFonts w:hint="eastAsia"/>
          <w:color w:val="auto"/>
        </w:rPr>
        <w:t>分区能耗分析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4D4AB53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参与者：能源管理负责人、科室负责人、决策层</w:t>
      </w:r>
    </w:p>
    <w:p w14:paraId="4CE01E9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输入：院区、分区/科室、周期、能源种类</w:t>
      </w:r>
    </w:p>
    <w:p w14:paraId="760FFB2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处理规则：按分区归集设备与表计能耗，支持分区总览、趋势、同环比、占比与排名；设备级数据与分区表计数据互校；分摊规则可配置并留痕</w:t>
      </w:r>
    </w:p>
    <w:p w14:paraId="0B3150A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输出：分区能耗看板、科室核算表、分摊明细</w:t>
      </w:r>
    </w:p>
    <w:p w14:paraId="05C6271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异常处理：归属不明能耗列入”未分摊”并提示，不强制摊派</w:t>
      </w:r>
    </w:p>
    <w:bookmarkEnd w:id="52"/>
    <w:p w14:paraId="082F0848">
      <w:pPr>
        <w:pStyle w:val="6"/>
        <w:rPr>
          <w:color w:val="auto"/>
        </w:rPr>
      </w:pPr>
      <w:bookmarkStart w:id="53" w:name="fr-hosp-14-节能建议-p1新增"/>
      <w:r>
        <w:rPr>
          <w:color w:val="auto"/>
        </w:rPr>
        <w:t>FR-HOSP-14　</w:t>
      </w:r>
      <w:r>
        <w:rPr>
          <w:rFonts w:hint="eastAsia"/>
          <w:color w:val="auto"/>
        </w:rPr>
        <w:t>节能建议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20ECD2E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参与者：能源管理负责人、决策层、设备科</w:t>
      </w:r>
    </w:p>
    <w:p w14:paraId="6602525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前置条件：具备足够的监测与能效数据积累</w:t>
      </w:r>
    </w:p>
    <w:p w14:paraId="650D0E2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输入：能效评估结果、工况规律、标杆与安全约束</w:t>
      </w:r>
    </w:p>
    <w:p w14:paraId="044C8E2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745607EA">
      <w:pPr>
        <w:pStyle w:val="24"/>
        <w:numPr>
          <w:ilvl w:val="1"/>
          <w:numId w:val="12"/>
        </w:numPr>
        <w:rPr>
          <w:color w:val="auto"/>
        </w:rPr>
      </w:pPr>
      <w:r>
        <w:rPr>
          <w:rFonts w:hint="eastAsia"/>
          <w:color w:val="auto"/>
        </w:rPr>
        <w:t>基于规则/模型生成节能建议（如待机管理、排程优化、重点设备复核），每条建议含现状数据、预估节能空间、依据与优先级；</w:t>
      </w:r>
    </w:p>
    <w:p w14:paraId="57463608">
      <w:pPr>
        <w:pStyle w:val="24"/>
        <w:numPr>
          <w:ilvl w:val="1"/>
          <w:numId w:val="12"/>
        </w:numPr>
        <w:rPr>
          <w:color w:val="auto"/>
        </w:rPr>
      </w:pPr>
      <w:r>
        <w:rPr>
          <w:rFonts w:hint="eastAsia"/>
          <w:color w:val="auto"/>
        </w:rPr>
        <w:t>所有建议必须标注安全约束与适用条件，默认只做分析提示，不自动控制医疗设备；</w:t>
      </w:r>
    </w:p>
    <w:p w14:paraId="7539ED63">
      <w:pPr>
        <w:pStyle w:val="24"/>
        <w:numPr>
          <w:ilvl w:val="1"/>
          <w:numId w:val="12"/>
        </w:numPr>
        <w:rPr>
          <w:color w:val="auto"/>
        </w:rPr>
      </w:pPr>
      <w:r>
        <w:rPr>
          <w:rFonts w:hint="eastAsia"/>
          <w:color w:val="auto"/>
        </w:rPr>
        <w:t>建议支持采纳/驳回/转工单，处置过程留痕，采纳后跟踪效果；</w:t>
      </w:r>
    </w:p>
    <w:p w14:paraId="4220A2CF">
      <w:pPr>
        <w:pStyle w:val="24"/>
        <w:numPr>
          <w:ilvl w:val="1"/>
          <w:numId w:val="12"/>
        </w:numPr>
        <w:rPr>
          <w:color w:val="auto"/>
        </w:rPr>
      </w:pPr>
      <w:r>
        <w:rPr>
          <w:rFonts w:hint="eastAsia"/>
          <w:color w:val="auto"/>
        </w:rPr>
        <w:t>建议结论可解释、可追溯到数据区间。</w:t>
      </w:r>
    </w:p>
    <w:p w14:paraId="3CF46C4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输出：节能建议清单、节能潜力测算、处置跟踪表</w:t>
      </w:r>
    </w:p>
    <w:p w14:paraId="75B61B6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异常处理：数据不足或置信度低时明确标注，不输出强结论</w:t>
      </w:r>
    </w:p>
    <w:bookmarkEnd w:id="53"/>
    <w:p w14:paraId="1EB3F658">
      <w:pPr>
        <w:pStyle w:val="6"/>
        <w:rPr>
          <w:color w:val="auto"/>
        </w:rPr>
      </w:pPr>
      <w:bookmarkStart w:id="54" w:name="fr-hosp-15-医院报警规则-p0新增"/>
      <w:r>
        <w:rPr>
          <w:color w:val="auto"/>
        </w:rPr>
        <w:t>FR-HOSP-15　</w:t>
      </w:r>
      <w:r>
        <w:rPr>
          <w:rFonts w:hint="eastAsia"/>
          <w:color w:val="auto"/>
        </w:rPr>
        <w:t>医院报警规则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449A484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参与者：能源管理负责人、设备科</w:t>
      </w:r>
    </w:p>
    <w:p w14:paraId="46A9670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输入：医院设备指标、规则类型（阈值/突变/无数据/工况异常/质量戳异常）、等级、时段、防抖、院区范围</w:t>
      </w:r>
    </w:p>
    <w:p w14:paraId="6B7A5A0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处理规则：在不修改通用报警引擎的前提下扩展医院规则集；支持按设备类别模板化配置；规则按院区隔离；可模拟校验</w:t>
      </w:r>
    </w:p>
    <w:p w14:paraId="207D2A6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输出：医院报警规则列表、模板、校验结果</w:t>
      </w:r>
    </w:p>
    <w:p w14:paraId="6053C9F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异常处理：引用失效指标的规则自动标异常并通知维护人</w:t>
      </w:r>
    </w:p>
    <w:bookmarkEnd w:id="54"/>
    <w:p w14:paraId="672F17D0">
      <w:pPr>
        <w:pStyle w:val="6"/>
        <w:rPr>
          <w:color w:val="auto"/>
        </w:rPr>
      </w:pPr>
      <w:bookmarkStart w:id="55" w:name="fr-hosp-16-医院报警记录与联动-p0新增"/>
      <w:r>
        <w:rPr>
          <w:color w:val="auto"/>
        </w:rPr>
        <w:t>FR-HOSP-16　</w:t>
      </w:r>
      <w:r>
        <w:rPr>
          <w:rFonts w:hint="eastAsia"/>
          <w:color w:val="auto"/>
        </w:rPr>
        <w:t>医院报警记录与联动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2D28CC8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参与者：值班人员、设备科、维修人员</w:t>
      </w:r>
    </w:p>
    <w:p w14:paraId="0554E18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处理规则：医院报警实时提示、确认/恢复/批注；与通用报警一致的生命周期；按规则联动邮件与自动生成维修工单；支持报警时长、确认时长、闭环率统计；按院区数据隔离</w:t>
      </w:r>
    </w:p>
    <w:p w14:paraId="02C4C64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输出：实时/历史医院报警、联动记录、处置统计</w:t>
      </w:r>
    </w:p>
    <w:p w14:paraId="6925B0D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异常处理：联动通道失败重试并留痕；报警风暴按合并/抑制策略处理</w:t>
      </w:r>
    </w:p>
    <w:bookmarkEnd w:id="55"/>
    <w:p w14:paraId="40D19B73">
      <w:pPr>
        <w:pStyle w:val="6"/>
        <w:rPr>
          <w:color w:val="auto"/>
        </w:rPr>
      </w:pPr>
      <w:bookmarkStart w:id="56" w:name="fr-hosp-17-医院大屏-p1新增"/>
      <w:r>
        <w:rPr>
          <w:color w:val="auto"/>
        </w:rPr>
        <w:t>FR-HOSP-17　</w:t>
      </w:r>
      <w:r>
        <w:rPr>
          <w:rFonts w:hint="eastAsia"/>
          <w:color w:val="auto"/>
        </w:rPr>
        <w:t>医院大屏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183147E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参与者：决策层、能源管理负责人</w:t>
      </w:r>
    </w:p>
    <w:p w14:paraId="5EE4A31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输入：医院各模块聚合指标</w:t>
      </w:r>
    </w:p>
    <w:p w14:paraId="4D33E33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655B2C3F">
      <w:pPr>
        <w:pStyle w:val="24"/>
        <w:numPr>
          <w:ilvl w:val="1"/>
          <w:numId w:val="13"/>
        </w:numPr>
        <w:rPr>
          <w:color w:val="auto"/>
        </w:rPr>
      </w:pPr>
      <w:r>
        <w:rPr>
          <w:rFonts w:hint="eastAsia"/>
          <w:color w:val="auto"/>
        </w:rPr>
        <w:t>一屏呈现院区总能耗、检查检验设备运行/离线数量、工况分布、能效排名、分区能耗、实时报警、节能潜力等；</w:t>
      </w:r>
    </w:p>
    <w:p w14:paraId="73E85FCE">
      <w:pPr>
        <w:pStyle w:val="24"/>
        <w:numPr>
          <w:ilvl w:val="1"/>
          <w:numId w:val="13"/>
        </w:numPr>
        <w:rPr>
          <w:color w:val="auto"/>
        </w:rPr>
      </w:pPr>
      <w:r>
        <w:rPr>
          <w:rFonts w:hint="eastAsia"/>
          <w:color w:val="auto"/>
        </w:rPr>
        <w:t>适配</w:t>
      </w:r>
      <w:r>
        <w:rPr>
          <w:color w:val="auto"/>
        </w:rPr>
        <w:t xml:space="preserve"> 1920×1080 </w:t>
      </w:r>
      <w:r>
        <w:rPr>
          <w:rFonts w:hint="eastAsia"/>
          <w:color w:val="auto"/>
        </w:rPr>
        <w:t>及以上大屏，首屏加载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≤3s，数据自动刷新，异常断点不白屏；</w:t>
      </w:r>
    </w:p>
    <w:p w14:paraId="3A66599A">
      <w:pPr>
        <w:pStyle w:val="24"/>
        <w:numPr>
          <w:ilvl w:val="1"/>
          <w:numId w:val="13"/>
        </w:numPr>
        <w:rPr>
          <w:color w:val="auto"/>
        </w:rPr>
      </w:pPr>
      <w:r>
        <w:rPr>
          <w:rFonts w:hint="eastAsia"/>
          <w:color w:val="auto"/>
        </w:rPr>
        <w:t>支持多院区切换（按权限）与中英文；时间按院区时区显示；</w:t>
      </w:r>
    </w:p>
    <w:p w14:paraId="1B575747">
      <w:pPr>
        <w:pStyle w:val="24"/>
        <w:numPr>
          <w:ilvl w:val="1"/>
          <w:numId w:val="13"/>
        </w:numPr>
        <w:rPr>
          <w:color w:val="auto"/>
        </w:rPr>
      </w:pPr>
      <w:r>
        <w:rPr>
          <w:rFonts w:hint="eastAsia"/>
          <w:color w:val="auto"/>
        </w:rPr>
        <w:t>图表基于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ECharts，复用平台大屏风格。</w:t>
      </w:r>
    </w:p>
    <w:p w14:paraId="63BFFF2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输出：医院综合大屏、可下钻明细</w:t>
      </w:r>
    </w:p>
    <w:p w14:paraId="2FB41C6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异常处理：部分组件数据失败时其余组件正常渲染，失败组件显示重试入口</w:t>
      </w:r>
    </w:p>
    <w:bookmarkEnd w:id="56"/>
    <w:p w14:paraId="697E4FB4">
      <w:pPr>
        <w:pStyle w:val="6"/>
        <w:rPr>
          <w:color w:val="auto"/>
        </w:rPr>
      </w:pPr>
      <w:bookmarkStart w:id="57" w:name="fr-hosp-18-多院区数据隔离-p0新增"/>
      <w:r>
        <w:rPr>
          <w:color w:val="auto"/>
        </w:rPr>
        <w:t>FR-HOSP-18　</w:t>
      </w:r>
      <w:r>
        <w:rPr>
          <w:rFonts w:hint="eastAsia"/>
          <w:color w:val="auto"/>
        </w:rPr>
        <w:t>多院区数据隔离</w:t>
      </w:r>
      <w:r>
        <w:rPr>
          <w:color w:val="auto"/>
        </w:rPr>
        <w:t>　</w:t>
      </w:r>
      <w:r>
        <w:rPr>
          <w:rFonts w:hint="eastAsia"/>
          <w:color w:val="auto"/>
        </w:rPr>
        <w:t>【P0｜新增】</w:t>
      </w:r>
    </w:p>
    <w:p w14:paraId="411281E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参与者：系统管理员、全部医院用户</w:t>
      </w:r>
    </w:p>
    <w:p w14:paraId="0D6EA53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前置条件：用户与院区授权关系已配置</w:t>
      </w:r>
    </w:p>
    <w:p w14:paraId="263D0E2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63600DD1">
      <w:pPr>
        <w:pStyle w:val="24"/>
        <w:numPr>
          <w:ilvl w:val="1"/>
          <w:numId w:val="14"/>
        </w:numPr>
        <w:rPr>
          <w:color w:val="auto"/>
        </w:rPr>
      </w:pPr>
      <w:r>
        <w:rPr>
          <w:rFonts w:hint="eastAsia"/>
          <w:color w:val="auto"/>
        </w:rPr>
        <w:t>在平台菜单/按钮/数据权限之上叠加院区维度：用户仅可访问被授权院区的数据（回调日志、设备、监测、报警、分析、大屏等全部医院页面与接口）；</w:t>
      </w:r>
    </w:p>
    <w:p w14:paraId="5BF18AAF">
      <w:pPr>
        <w:pStyle w:val="24"/>
        <w:numPr>
          <w:ilvl w:val="1"/>
          <w:numId w:val="14"/>
        </w:numPr>
        <w:rPr>
          <w:color w:val="auto"/>
        </w:rPr>
      </w:pPr>
      <w:r>
        <w:rPr>
          <w:rFonts w:hint="eastAsia"/>
          <w:color w:val="auto"/>
        </w:rPr>
        <w:t>集团/决策层授权后可跨院区汇总查看；</w:t>
      </w:r>
    </w:p>
    <w:p w14:paraId="727DF11E">
      <w:pPr>
        <w:pStyle w:val="24"/>
        <w:numPr>
          <w:ilvl w:val="1"/>
          <w:numId w:val="14"/>
        </w:numPr>
        <w:rPr>
          <w:color w:val="auto"/>
        </w:rPr>
      </w:pPr>
      <w:r>
        <w:rPr>
          <w:rFonts w:hint="eastAsia"/>
          <w:color w:val="auto"/>
        </w:rPr>
        <w:t>隔离在服务端查询条件强制生效，不依赖前端过滤；接口级校验并写越权审计；</w:t>
      </w:r>
    </w:p>
    <w:p w14:paraId="52E5805B">
      <w:pPr>
        <w:pStyle w:val="24"/>
        <w:numPr>
          <w:ilvl w:val="1"/>
          <w:numId w:val="14"/>
        </w:numPr>
        <w:rPr>
          <w:color w:val="auto"/>
        </w:rPr>
      </w:pPr>
      <w:r>
        <w:rPr>
          <w:rFonts w:hint="eastAsia"/>
          <w:color w:val="auto"/>
        </w:rPr>
        <w:t>不同院区使用独立回调凭证，数据写入即带院区标识。</w:t>
      </w:r>
    </w:p>
    <w:p w14:paraId="7FF7C75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输出：按权限隔离的数据集与页面</w:t>
      </w:r>
    </w:p>
    <w:p w14:paraId="285C6E8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异常处理：越权访问返回无权限并安全审计；缺少院区归属的数据进入隔离区不放行</w:t>
      </w:r>
    </w:p>
    <w:bookmarkEnd w:id="57"/>
    <w:p w14:paraId="47265EFA">
      <w:pPr>
        <w:pStyle w:val="6"/>
        <w:rPr>
          <w:color w:val="auto"/>
        </w:rPr>
      </w:pPr>
      <w:bookmarkStart w:id="58" w:name="fr-hosp-19-中英文国际化与多时区-p1新增"/>
      <w:r>
        <w:rPr>
          <w:color w:val="auto"/>
        </w:rPr>
        <w:t>FR-HOSP-19　</w:t>
      </w:r>
      <w:r>
        <w:rPr>
          <w:rFonts w:hint="eastAsia"/>
          <w:color w:val="auto"/>
        </w:rPr>
        <w:t>中英文国际化与多时区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708AAA1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参与者：全部医院用户、海外院区用户</w:t>
      </w:r>
    </w:p>
    <w:p w14:paraId="4AB0160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</w:t>
      </w:r>
    </w:p>
    <w:p w14:paraId="5F440C34">
      <w:pPr>
        <w:pStyle w:val="24"/>
        <w:numPr>
          <w:ilvl w:val="1"/>
          <w:numId w:val="15"/>
        </w:numPr>
        <w:rPr>
          <w:color w:val="auto"/>
        </w:rPr>
      </w:pPr>
      <w:r>
        <w:rPr>
          <w:rFonts w:hint="eastAsia"/>
          <w:color w:val="auto"/>
        </w:rPr>
        <w:t>医院模块全部菜单、页面、字典、消息、报表模板纳入</w:t>
      </w:r>
      <w:r>
        <w:rPr>
          <w:color w:val="auto"/>
        </w:rPr>
        <w:t xml:space="preserve"> vue-i18n </w:t>
      </w:r>
      <w:r>
        <w:rPr>
          <w:rFonts w:hint="eastAsia"/>
          <w:color w:val="auto"/>
        </w:rPr>
        <w:t>资源，本期必达中文与英文，俄文/印尼文沿用平台框架预留；</w:t>
      </w:r>
    </w:p>
    <w:p w14:paraId="21D4BBDC">
      <w:pPr>
        <w:pStyle w:val="24"/>
        <w:numPr>
          <w:ilvl w:val="1"/>
          <w:numId w:val="15"/>
        </w:numPr>
        <w:rPr>
          <w:color w:val="auto"/>
        </w:rPr>
      </w:pPr>
      <w:r>
        <w:rPr>
          <w:rFonts w:hint="eastAsia"/>
          <w:color w:val="auto"/>
        </w:rPr>
        <w:t>不硬编码文案，指标/设备名称等业务数据支持多语字段或命名编码；</w:t>
      </w:r>
    </w:p>
    <w:p w14:paraId="52A69AEF">
      <w:pPr>
        <w:pStyle w:val="24"/>
        <w:numPr>
          <w:ilvl w:val="1"/>
          <w:numId w:val="15"/>
        </w:numPr>
        <w:rPr>
          <w:color w:val="auto"/>
        </w:rPr>
      </w:pPr>
      <w:r>
        <w:rPr>
          <w:rFonts w:hint="eastAsia"/>
          <w:color w:val="auto"/>
        </w:rPr>
        <w:t>所有时间按院区时区存储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UTC、展示本地化；用户可切换时区；报表标注时区；</w:t>
      </w:r>
    </w:p>
    <w:p w14:paraId="486EBFB5">
      <w:pPr>
        <w:pStyle w:val="24"/>
        <w:numPr>
          <w:ilvl w:val="1"/>
          <w:numId w:val="15"/>
        </w:numPr>
        <w:rPr>
          <w:color w:val="auto"/>
        </w:rPr>
      </w:pPr>
      <w:r>
        <w:rPr>
          <w:rFonts w:hint="eastAsia"/>
          <w:color w:val="auto"/>
        </w:rPr>
        <w:t>数字、货币、单位按语言环境格式化。</w:t>
      </w:r>
    </w:p>
    <w:p w14:paraId="723067B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输出：中英文医院界面与本地化时间/格式</w:t>
      </w:r>
    </w:p>
    <w:p w14:paraId="1F85D8C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异常处理：缺少翻译时回退默认语言并记录缺失键，不显示技术编码</w:t>
      </w:r>
    </w:p>
    <w:bookmarkEnd w:id="58"/>
    <w:p w14:paraId="08C1EA5E">
      <w:pPr>
        <w:pStyle w:val="6"/>
        <w:rPr>
          <w:color w:val="auto"/>
        </w:rPr>
      </w:pPr>
      <w:bookmarkStart w:id="59" w:name="fr-hosp-20-回调链路监控与运维告警-p1新增"/>
      <w:r>
        <w:rPr>
          <w:color w:val="auto"/>
        </w:rPr>
        <w:t>FR-HOSP-20　</w:t>
      </w:r>
      <w:r>
        <w:rPr>
          <w:rFonts w:hint="eastAsia"/>
          <w:color w:val="auto"/>
        </w:rPr>
        <w:t>回调链路监控与运维告警</w:t>
      </w:r>
      <w:r>
        <w:rPr>
          <w:color w:val="auto"/>
        </w:rPr>
        <w:t>　</w:t>
      </w:r>
      <w:r>
        <w:rPr>
          <w:rFonts w:hint="eastAsia"/>
          <w:color w:val="auto"/>
        </w:rPr>
        <w:t>【P1｜新增】</w:t>
      </w:r>
    </w:p>
    <w:p w14:paraId="662AF76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参与者：IOT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</w:t>
      </w:r>
    </w:p>
    <w:p w14:paraId="06A6127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处理规则：提供接入层运行视图（TPS、成功率、耗时、队列积压、死信数、各院区在线状态）；指标基于回调日志与消息指标聚合；对成功率下降、积压、死信、数据源长时间无回调等异常设置阈值告警；支持与系统监控页集成</w:t>
      </w:r>
    </w:p>
    <w:p w14:paraId="1D3E19F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输出：链路监控看板、告警通知</w:t>
      </w:r>
    </w:p>
    <w:p w14:paraId="498B03B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异常处理：监控自身故障降级但不影响数据主链路</w:t>
      </w:r>
    </w:p>
    <w:bookmarkEnd w:id="39"/>
    <w:bookmarkEnd w:id="59"/>
    <w:p w14:paraId="221CEA98">
      <w:pPr>
        <w:pStyle w:val="5"/>
        <w:rPr>
          <w:color w:val="auto"/>
        </w:rPr>
      </w:pPr>
      <w:bookmarkStart w:id="60" w:name="系统管理fr-sys基线"/>
      <w:r>
        <w:rPr>
          <w:color w:val="auto"/>
        </w:rPr>
        <w:t xml:space="preserve">3.22 </w:t>
      </w:r>
      <w:r>
        <w:rPr>
          <w:rFonts w:hint="eastAsia"/>
          <w:color w:val="auto"/>
        </w:rPr>
        <w:t>系统管理（FR-SYS，基线）</w:t>
      </w:r>
    </w:p>
    <w:p w14:paraId="09A1CE29">
      <w:pPr>
        <w:pStyle w:val="23"/>
        <w:rPr>
          <w:color w:val="auto"/>
        </w:rPr>
      </w:pPr>
      <w:r>
        <w:rPr>
          <w:b/>
          <w:bCs/>
          <w:color w:val="auto"/>
        </w:rPr>
        <w:t>FR-SYS-01　</w:t>
      </w:r>
      <w:r>
        <w:rPr>
          <w:rFonts w:hint="eastAsia"/>
          <w:b/>
          <w:bCs/>
          <w:color w:val="auto"/>
        </w:rPr>
        <w:t>用户、角色与权限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处理规则：用户/角色/部门管理；Sa-Token</w:t>
      </w:r>
      <w:r>
        <w:rPr>
          <w:color w:val="auto"/>
        </w:rPr>
        <w:t xml:space="preserve"> + JWT </w:t>
      </w:r>
      <w:r>
        <w:rPr>
          <w:rFonts w:hint="eastAsia"/>
          <w:color w:val="auto"/>
        </w:rPr>
        <w:t>登录认证；菜单权限、按钮权限、数据权限（全部/本部门及以下/本部门/仅本人）；密码策略与登录失败锁定；医院模块在此之上叠加院区授权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异常处理：越权访问拦截并审计；弱密码/过期密码按策略处理</w:t>
      </w:r>
    </w:p>
    <w:p w14:paraId="03D2DBB9">
      <w:pPr>
        <w:pStyle w:val="3"/>
        <w:rPr>
          <w:color w:val="auto"/>
        </w:rPr>
      </w:pPr>
      <w:r>
        <w:rPr>
          <w:b/>
          <w:bCs/>
          <w:color w:val="auto"/>
        </w:rPr>
        <w:t>FR-SYS-02　</w:t>
      </w:r>
      <w:r>
        <w:rPr>
          <w:rFonts w:hint="eastAsia"/>
          <w:b/>
          <w:bCs/>
          <w:color w:val="auto"/>
        </w:rPr>
        <w:t>字典、参数与组织机构</w:t>
      </w:r>
      <w:r>
        <w:rPr>
          <w:color w:val="auto"/>
        </w:rPr>
        <w:t>　</w:t>
      </w:r>
      <w:r>
        <w:rPr>
          <w:rFonts w:hint="eastAsia"/>
          <w:color w:val="auto"/>
        </w:rPr>
        <w:t>【P0｜基线】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处理规则：数据字典、系统参数、组织/部门维护；参数变更留痕；支持多语字典项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异常处理：被引用字典项停用不删除；关键参数非法值在保存时校验</w:t>
      </w:r>
    </w:p>
    <w:bookmarkEnd w:id="60"/>
    <w:p w14:paraId="2C8856DE">
      <w:pPr>
        <w:pStyle w:val="5"/>
        <w:rPr>
          <w:color w:val="auto"/>
        </w:rPr>
      </w:pPr>
      <w:bookmarkStart w:id="61" w:name="系统监控fr-mon基线"/>
      <w:r>
        <w:rPr>
          <w:color w:val="auto"/>
        </w:rPr>
        <w:t xml:space="preserve">3.23 </w:t>
      </w:r>
      <w:r>
        <w:rPr>
          <w:rFonts w:hint="eastAsia"/>
          <w:color w:val="auto"/>
        </w:rPr>
        <w:t>系统监控（FR-MON，基线）</w:t>
      </w:r>
    </w:p>
    <w:p w14:paraId="7BAAB31E">
      <w:pPr>
        <w:pStyle w:val="23"/>
        <w:rPr>
          <w:color w:val="auto"/>
        </w:rPr>
      </w:pPr>
      <w:r>
        <w:rPr>
          <w:b/>
          <w:bCs/>
          <w:color w:val="auto"/>
        </w:rPr>
        <w:t>FR-MON-01　</w:t>
      </w:r>
      <w:r>
        <w:rPr>
          <w:rFonts w:hint="eastAsia"/>
          <w:b/>
          <w:bCs/>
          <w:color w:val="auto"/>
        </w:rPr>
        <w:t>运行监控与审计日志</w:t>
      </w:r>
      <w:r>
        <w:rPr>
          <w:color w:val="auto"/>
        </w:rPr>
        <w:t>　</w:t>
      </w:r>
      <w:r>
        <w:rPr>
          <w:rFonts w:hint="eastAsia"/>
          <w:color w:val="auto"/>
        </w:rPr>
        <w:t>【P1｜基线】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处理规则：在线用户、服务状态、任务调度（XXL-Job）监控；登录日志、操作审计日志留存与检索；关键操作可追溯到人、时、内容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异常处理：审计日志只增不改；异常登录行为预警</w:t>
      </w:r>
    </w:p>
    <w:p w14:paraId="264FEA7C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bookmarkEnd w:id="61"/>
    <w:p w14:paraId="10A676C4">
      <w:pPr>
        <w:pStyle w:val="2"/>
        <w:rPr>
          <w:color w:val="auto"/>
        </w:rPr>
      </w:pPr>
      <w:bookmarkStart w:id="62" w:name="外部接口需求"/>
      <w:r>
        <w:rPr>
          <w:color w:val="auto"/>
        </w:rPr>
        <w:t xml:space="preserve">4. </w:t>
      </w:r>
      <w:r>
        <w:rPr>
          <w:rFonts w:hint="eastAsia"/>
          <w:color w:val="auto"/>
        </w:rPr>
        <w:t>外部接口需求</w:t>
      </w:r>
    </w:p>
    <w:p w14:paraId="4A142634">
      <w:pPr>
        <w:pStyle w:val="4"/>
        <w:rPr>
          <w:color w:val="auto"/>
        </w:rPr>
      </w:pPr>
      <w:bookmarkStart w:id="63" w:name="接口总体要求"/>
      <w:r>
        <w:rPr>
          <w:color w:val="auto"/>
        </w:rPr>
        <w:t xml:space="preserve">4.1 </w:t>
      </w:r>
      <w:r>
        <w:rPr>
          <w:rFonts w:hint="eastAsia"/>
          <w:color w:val="auto"/>
        </w:rPr>
        <w:t>接口总体要求</w:t>
      </w:r>
    </w:p>
    <w:p w14:paraId="47C8F3D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所有对外接口走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HTTPS；统一鉴权、限流、幂等与错误码规范；</w:t>
      </w:r>
    </w:p>
    <w:p w14:paraId="5093459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接口契约版本化（URL/Header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携带版本），变更走变更控制；</w:t>
      </w:r>
    </w:p>
    <w:p w14:paraId="349477D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敏感字段（凭证、密钥、个人信息）加密或脱敏，不在日志明文留存；</w:t>
      </w:r>
    </w:p>
    <w:p w14:paraId="2A9FF8B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所有外部交互记录可追溯（调用方、时间、结果、耗时）。</w:t>
      </w:r>
    </w:p>
    <w:bookmarkEnd w:id="63"/>
    <w:p w14:paraId="49CED769">
      <w:pPr>
        <w:pStyle w:val="4"/>
        <w:rPr>
          <w:color w:val="auto"/>
        </w:rPr>
      </w:pPr>
      <w:bookmarkStart w:id="64" w:name="接口清单"/>
      <w:r>
        <w:rPr>
          <w:color w:val="auto"/>
        </w:rPr>
        <w:t xml:space="preserve">4.2 </w:t>
      </w:r>
      <w:r>
        <w:rPr>
          <w:rFonts w:hint="eastAsia"/>
          <w:color w:val="auto"/>
        </w:rPr>
        <w:t>接口清单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5A8AF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10BD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35FA6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57296E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方向</w:t>
            </w:r>
          </w:p>
        </w:tc>
        <w:tc>
          <w:p w14:paraId="433068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协议/方式</w:t>
            </w:r>
          </w:p>
        </w:tc>
        <w:tc>
          <w:p w14:paraId="146C32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关键内容</w:t>
            </w:r>
          </w:p>
        </w:tc>
        <w:tc>
          <w:p w14:paraId="5022DB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性能/可靠性要求</w:t>
            </w:r>
          </w:p>
        </w:tc>
      </w:tr>
      <w:tr w14:paraId="594E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F6F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EI-01</w:t>
            </w:r>
          </w:p>
        </w:tc>
        <w:tc>
          <w:p w14:paraId="453FF8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直采</w:t>
            </w:r>
          </w:p>
        </w:tc>
        <w:tc>
          <w:p w14:paraId="59A7D1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设备/网关→平台</w:t>
            </w:r>
          </w:p>
        </w:tc>
        <w:tc>
          <w:p w14:paraId="02606B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over </w:t>
            </w:r>
            <w:r>
              <w:rPr>
                <w:rFonts w:hint="eastAsia"/>
                <w:color w:val="auto"/>
              </w:rPr>
              <w:t>TLS（EMQX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5.3.2），主题订阅</w:t>
            </w:r>
          </w:p>
        </w:tc>
        <w:tc>
          <w:p w14:paraId="57EF28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通用计量与传感设备数据，平台订阅后经消息链路入库</w:t>
            </w:r>
          </w:p>
        </w:tc>
        <w:tc>
          <w:p w14:paraId="2BB05F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支持主题级鉴权；断线经</w:t>
            </w:r>
            <w:r>
              <w:rPr>
                <w:color w:val="auto"/>
              </w:rPr>
              <w:t xml:space="preserve"> MQTT QoS </w:t>
            </w:r>
            <w:r>
              <w:rPr>
                <w:rFonts w:hint="eastAsia"/>
                <w:color w:val="auto"/>
              </w:rPr>
              <w:t>与平台补偿保证不丢</w:t>
            </w:r>
          </w:p>
        </w:tc>
      </w:tr>
      <w:tr w14:paraId="278C3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705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EI-02</w:t>
            </w:r>
          </w:p>
        </w:tc>
        <w:tc>
          <w:p w14:paraId="65ACA0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HTTP </w:t>
            </w:r>
            <w:r>
              <w:rPr>
                <w:rFonts w:hint="eastAsia"/>
                <w:color w:val="auto"/>
              </w:rPr>
              <w:t>回调</w:t>
            </w:r>
          </w:p>
        </w:tc>
        <w:tc>
          <w:p w14:paraId="66137F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平台→平台</w:t>
            </w:r>
          </w:p>
        </w:tc>
        <w:tc>
          <w:p w14:paraId="117221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HTTPS POST + </w:t>
            </w:r>
            <w:r>
              <w:rPr>
                <w:rFonts w:hint="eastAsia"/>
                <w:color w:val="auto"/>
              </w:rPr>
              <w:t>JSON，Token/IP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白名单/签名</w:t>
            </w:r>
          </w:p>
        </w:tc>
        <w:tc>
          <w:p w14:paraId="583C19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检查检验设备数据点批量推送（FR-HOSP-01~06）</w:t>
            </w:r>
          </w:p>
        </w:tc>
        <w:tc>
          <w:p w14:paraId="6D0E44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≥1000 </w:t>
            </w:r>
            <w:r>
              <w:rPr>
                <w:rFonts w:hint="eastAsia"/>
                <w:color w:val="auto"/>
              </w:rPr>
              <w:t>TPS；异步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ACK；失败可重试、死信可重放</w:t>
            </w:r>
          </w:p>
        </w:tc>
      </w:tr>
      <w:tr w14:paraId="4ADC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995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EI-03</w:t>
            </w:r>
          </w:p>
        </w:tc>
        <w:tc>
          <w:p w14:paraId="666F70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对象存储</w:t>
            </w:r>
            <w:r>
              <w:rPr>
                <w:color w:val="auto"/>
              </w:rPr>
              <w:t xml:space="preserve"> OSS</w:t>
            </w:r>
          </w:p>
        </w:tc>
        <w:tc>
          <w:p w14:paraId="54BE22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平台↔OSS</w:t>
            </w:r>
          </w:p>
        </w:tc>
        <w:tc>
          <w:p w14:paraId="37F72D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HTTPS API/SDK</w:t>
            </w:r>
          </w:p>
        </w:tc>
        <w:tc>
          <w:p w14:paraId="78BADA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附件、报表、图片、模型文件；鉴权下载</w:t>
            </w:r>
          </w:p>
        </w:tc>
        <w:tc>
          <w:p w14:paraId="33600C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上传下载失败重试；URL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有时效</w:t>
            </w:r>
          </w:p>
        </w:tc>
      </w:tr>
      <w:tr w14:paraId="5717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9B7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EI-04</w:t>
            </w:r>
          </w:p>
        </w:tc>
        <w:tc>
          <w:p w14:paraId="56224F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短信</w:t>
            </w:r>
            <w:r>
              <w:rPr>
                <w:color w:val="auto"/>
              </w:rPr>
              <w:t xml:space="preserve"> SMS</w:t>
            </w:r>
          </w:p>
        </w:tc>
        <w:tc>
          <w:p w14:paraId="750619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平台→短信网关</w:t>
            </w:r>
          </w:p>
        </w:tc>
        <w:tc>
          <w:p w14:paraId="1F146C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HTTPS API</w:t>
            </w:r>
          </w:p>
        </w:tc>
        <w:tc>
          <w:p w14:paraId="471605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报警与通知短信</w:t>
            </w:r>
          </w:p>
        </w:tc>
        <w:tc>
          <w:p w14:paraId="7C666B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发送失败重试并留痕；频控防骚扰</w:t>
            </w:r>
          </w:p>
        </w:tc>
      </w:tr>
      <w:tr w14:paraId="2050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B23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EI-05</w:t>
            </w:r>
          </w:p>
        </w:tc>
        <w:tc>
          <w:p w14:paraId="0EA3B7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邮件</w:t>
            </w:r>
          </w:p>
        </w:tc>
        <w:tc>
          <w:p w14:paraId="11ABFC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平台→邮件服务</w:t>
            </w:r>
          </w:p>
        </w:tc>
        <w:tc>
          <w:p w14:paraId="29FBC0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SMTP/HTTPS</w:t>
            </w:r>
          </w:p>
        </w:tc>
        <w:tc>
          <w:p w14:paraId="71AB2F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报警联动、报表订阅</w:t>
            </w:r>
          </w:p>
        </w:tc>
        <w:tc>
          <w:p w14:paraId="08390A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失败重试；模板化</w:t>
            </w:r>
          </w:p>
        </w:tc>
      </w:tr>
      <w:tr w14:paraId="078D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D56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EI-06</w:t>
            </w:r>
          </w:p>
        </w:tc>
        <w:tc>
          <w:p w14:paraId="01D358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视频平台</w:t>
            </w:r>
          </w:p>
        </w:tc>
        <w:tc>
          <w:p w14:paraId="5E5A32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平台↔视频平台</w:t>
            </w:r>
          </w:p>
        </w:tc>
        <w:tc>
          <w:p w14:paraId="39AFE4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厂商开放接口（按视频接入方案）</w:t>
            </w:r>
          </w:p>
        </w:tc>
        <w:tc>
          <w:p w14:paraId="1DA1BD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通道树、预览/回放取流、报警联动</w:t>
            </w:r>
          </w:p>
        </w:tc>
        <w:tc>
          <w:p w14:paraId="57C838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取流异常不阻断能源业务</w:t>
            </w:r>
          </w:p>
        </w:tc>
      </w:tr>
      <w:tr w14:paraId="1D85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F43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EI-07</w:t>
            </w:r>
          </w:p>
        </w:tc>
        <w:tc>
          <w:p w14:paraId="18B005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系统集成数据同步</w:t>
            </w:r>
          </w:p>
        </w:tc>
        <w:tc>
          <w:p w14:paraId="69F6E0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第三方↔平台</w:t>
            </w:r>
          </w:p>
        </w:tc>
        <w:tc>
          <w:p w14:paraId="69688E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HTTP/DB </w:t>
            </w:r>
            <w:r>
              <w:rPr>
                <w:rFonts w:hint="eastAsia"/>
                <w:color w:val="auto"/>
              </w:rPr>
              <w:t>等（由同步引擎适配）</w:t>
            </w:r>
          </w:p>
        </w:tc>
        <w:tc>
          <w:p w14:paraId="2CBD1B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主数据/业务数据双向或单向同步（FR-INT）</w:t>
            </w:r>
          </w:p>
        </w:tc>
        <w:tc>
          <w:p w14:paraId="6100C4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幂等、可重跑、连续失败告警</w:t>
            </w:r>
          </w:p>
        </w:tc>
      </w:tr>
      <w:tr w14:paraId="31ED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CAE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EI-08</w:t>
            </w:r>
          </w:p>
        </w:tc>
        <w:tc>
          <w:p w14:paraId="27B08D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天气预报（调度域）</w:t>
            </w:r>
          </w:p>
        </w:tc>
        <w:tc>
          <w:p w14:paraId="5E1C0C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外部天气源→平台</w:t>
            </w:r>
          </w:p>
        </w:tc>
        <w:tc>
          <w:p w14:paraId="4DCBAE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HTTPS API</w:t>
            </w:r>
          </w:p>
        </w:tc>
        <w:tc>
          <w:p w14:paraId="018BBD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调度预测所需天气数据</w:t>
            </w:r>
          </w:p>
        </w:tc>
        <w:tc>
          <w:p w14:paraId="048C77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失败沿用前值并标注</w:t>
            </w:r>
          </w:p>
        </w:tc>
      </w:tr>
      <w:bookmarkEnd w:id="64"/>
    </w:tbl>
    <w:p w14:paraId="478B47F2">
      <w:pPr>
        <w:pStyle w:val="4"/>
        <w:rPr>
          <w:color w:val="auto"/>
        </w:rPr>
      </w:pPr>
      <w:bookmarkStart w:id="65" w:name="回调报文兼容性要求"/>
      <w:r>
        <w:rPr>
          <w:color w:val="auto"/>
        </w:rPr>
        <w:t xml:space="preserve">4.3 </w:t>
      </w:r>
      <w:r>
        <w:rPr>
          <w:rFonts w:hint="eastAsia"/>
          <w:color w:val="auto"/>
        </w:rPr>
        <w:t>回调报文兼容性要求</w:t>
      </w:r>
    </w:p>
    <w:p w14:paraId="34B18DA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报文必须能无损映射为附录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StandardDataPoint；厂商扩展字段允许保留原始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JSON；</w:t>
      </w:r>
    </w:p>
    <w:p w14:paraId="63F1A14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编码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UTF-8；时间支持</w:t>
      </w:r>
      <w:r>
        <w:rPr>
          <w:color w:val="auto"/>
        </w:rPr>
        <w:t xml:space="preserve"> ISO-8601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epoch </w:t>
      </w:r>
      <w:r>
        <w:rPr>
          <w:rFonts w:hint="eastAsia"/>
          <w:color w:val="auto"/>
        </w:rPr>
        <w:t>毫秒（按数据源配置）；</w:t>
      </w:r>
    </w:p>
    <w:p w14:paraId="5FB35B6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平台对单报文大小、批量条数设上限并在联调文档中公布。</w:t>
      </w:r>
    </w:p>
    <w:p w14:paraId="13F70EC3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5"/>
    <w:p w14:paraId="2B7AFBD6">
      <w:pPr>
        <w:pStyle w:val="2"/>
        <w:rPr>
          <w:color w:val="auto"/>
        </w:rPr>
      </w:pPr>
      <w:bookmarkStart w:id="66" w:name="数据需求"/>
      <w:r>
        <w:rPr>
          <w:color w:val="auto"/>
        </w:rPr>
        <w:t xml:space="preserve">5. </w:t>
      </w:r>
      <w:r>
        <w:rPr>
          <w:rFonts w:hint="eastAsia"/>
          <w:color w:val="auto"/>
        </w:rPr>
        <w:t>数据需求</w:t>
      </w:r>
    </w:p>
    <w:p w14:paraId="3AE35AB7">
      <w:pPr>
        <w:pStyle w:val="4"/>
        <w:rPr>
          <w:color w:val="auto"/>
        </w:rPr>
      </w:pPr>
      <w:bookmarkStart w:id="67" w:name="数据分类"/>
      <w:r>
        <w:rPr>
          <w:color w:val="auto"/>
        </w:rPr>
        <w:t xml:space="preserve">5.1 </w:t>
      </w:r>
      <w:r>
        <w:rPr>
          <w:rFonts w:hint="eastAsia"/>
          <w:color w:val="auto"/>
        </w:rPr>
        <w:t>数据分类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1C2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FE68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31891A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  <w:tc>
          <w:p w14:paraId="387700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存储</w:t>
            </w:r>
          </w:p>
        </w:tc>
        <w:tc>
          <w:p w14:paraId="744ADD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保留要求（默认，可按项目调整）</w:t>
            </w:r>
          </w:p>
        </w:tc>
      </w:tr>
      <w:tr w14:paraId="15B6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A4C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主数据/档案</w:t>
            </w:r>
          </w:p>
        </w:tc>
        <w:tc>
          <w:p w14:paraId="19BC5B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设备台账、表计、院区/分区、指标定义、组织</w:t>
            </w:r>
          </w:p>
        </w:tc>
        <w:tc>
          <w:p w14:paraId="699D22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8.0</w:t>
            </w:r>
          </w:p>
        </w:tc>
        <w:tc>
          <w:p w14:paraId="39E8E9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长期保存，逻辑删除</w:t>
            </w:r>
          </w:p>
        </w:tc>
      </w:tr>
      <w:tr w14:paraId="6CF80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DA4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配置数据</w:t>
            </w:r>
          </w:p>
        </w:tc>
        <w:tc>
          <w:p w14:paraId="0AF4D7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回调凭证、映射规则、报警规则、价格策略</w:t>
            </w:r>
          </w:p>
        </w:tc>
        <w:tc>
          <w:p w14:paraId="491591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MySQL（凭证加密）</w:t>
            </w:r>
          </w:p>
        </w:tc>
        <w:tc>
          <w:p w14:paraId="335441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长期保存，版本化</w:t>
            </w:r>
          </w:p>
        </w:tc>
      </w:tr>
      <w:tr w14:paraId="03BD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24F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业务数据</w:t>
            </w:r>
          </w:p>
        </w:tc>
        <w:tc>
          <w:p w14:paraId="3A56DC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工单、巡检、出入库、订单、报表实例</w:t>
            </w:r>
          </w:p>
        </w:tc>
        <w:tc>
          <w:p w14:paraId="1BF453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7677E1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不少于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年</w:t>
            </w:r>
          </w:p>
        </w:tc>
      </w:tr>
      <w:tr w14:paraId="7871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BEC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时序数据</w:t>
            </w:r>
          </w:p>
        </w:tc>
        <w:tc>
          <w:p w14:paraId="6D23CE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电参量、设备指标、状态、能耗历史</w:t>
            </w:r>
          </w:p>
        </w:tc>
        <w:tc>
          <w:p w14:paraId="50D968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TDengine（开启时）/MySQL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降级表</w:t>
            </w:r>
          </w:p>
        </w:tc>
        <w:tc>
          <w:p w14:paraId="418754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高频明细</w:t>
            </w:r>
            <w:r>
              <w:rPr>
                <w:color w:val="auto"/>
              </w:rPr>
              <w:t xml:space="preserve"> ≥1 </w:t>
            </w:r>
            <w:r>
              <w:rPr>
                <w:rFonts w:hint="eastAsia"/>
                <w:color w:val="auto"/>
              </w:rPr>
              <w:t>年，聚合数据</w:t>
            </w:r>
            <w:r>
              <w:rPr>
                <w:color w:val="auto"/>
              </w:rPr>
              <w:t xml:space="preserve"> ≥5 </w:t>
            </w:r>
            <w:r>
              <w:rPr>
                <w:rFonts w:hint="eastAsia"/>
                <w:color w:val="auto"/>
              </w:rPr>
              <w:t>年</w:t>
            </w:r>
          </w:p>
        </w:tc>
      </w:tr>
      <w:tr w14:paraId="555E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D97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消息/死信</w:t>
            </w:r>
          </w:p>
        </w:tc>
        <w:tc>
          <w:p w14:paraId="41A5F2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队列消息、死信原始报文</w:t>
            </w:r>
          </w:p>
        </w:tc>
        <w:tc>
          <w:p w14:paraId="71B79A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+ </w:t>
            </w:r>
            <w:r>
              <w:rPr>
                <w:rFonts w:hint="eastAsia"/>
                <w:color w:val="auto"/>
              </w:rPr>
              <w:t>MySQL/文件归档</w:t>
            </w:r>
          </w:p>
        </w:tc>
        <w:tc>
          <w:p w14:paraId="4A51F3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死信</w:t>
            </w:r>
            <w:r>
              <w:rPr>
                <w:color w:val="auto"/>
              </w:rPr>
              <w:t xml:space="preserve"> ≥180 </w:t>
            </w:r>
            <w:r>
              <w:rPr>
                <w:rFonts w:hint="eastAsia"/>
                <w:color w:val="auto"/>
              </w:rPr>
              <w:t>天或至处理完毕</w:t>
            </w:r>
          </w:p>
        </w:tc>
      </w:tr>
      <w:tr w14:paraId="33A1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B6D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日志与审计</w:t>
            </w:r>
          </w:p>
        </w:tc>
        <w:tc>
          <w:p w14:paraId="236D5D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回调日志、登录/操作审计、安全日志</w:t>
            </w:r>
          </w:p>
        </w:tc>
        <w:tc>
          <w:p w14:paraId="197EEA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MySQL/日志文件</w:t>
            </w:r>
          </w:p>
        </w:tc>
        <w:tc>
          <w:p w14:paraId="58452D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  <w:r>
              <w:rPr>
                <w:color w:val="auto"/>
              </w:rPr>
              <w:t xml:space="preserve"> ≥6 </w:t>
            </w:r>
            <w:r>
              <w:rPr>
                <w:rFonts w:hint="eastAsia"/>
                <w:color w:val="auto"/>
              </w:rPr>
              <w:t>个月（等保），关键操作</w:t>
            </w:r>
            <w:r>
              <w:rPr>
                <w:color w:val="auto"/>
              </w:rPr>
              <w:t xml:space="preserve"> ≥1 </w:t>
            </w:r>
            <w:r>
              <w:rPr>
                <w:rFonts w:hint="eastAsia"/>
                <w:color w:val="auto"/>
              </w:rPr>
              <w:t>年</w:t>
            </w:r>
          </w:p>
        </w:tc>
      </w:tr>
      <w:tr w14:paraId="520C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B16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文件数据</w:t>
            </w:r>
          </w:p>
        </w:tc>
        <w:tc>
          <w:p w14:paraId="052516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附件、报表、视频截图、3D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模型</w:t>
            </w:r>
          </w:p>
        </w:tc>
        <w:tc>
          <w:p w14:paraId="6FD637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OSS</w:t>
            </w:r>
          </w:p>
        </w:tc>
        <w:tc>
          <w:p w14:paraId="47FF6F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随业务生命周期</w:t>
            </w:r>
          </w:p>
        </w:tc>
      </w:tr>
      <w:bookmarkEnd w:id="67"/>
    </w:tbl>
    <w:p w14:paraId="312DAF25">
      <w:pPr>
        <w:pStyle w:val="4"/>
        <w:rPr>
          <w:color w:val="auto"/>
        </w:rPr>
      </w:pPr>
      <w:bookmarkStart w:id="68" w:name="时序数据要求"/>
      <w:r>
        <w:rPr>
          <w:color w:val="auto"/>
        </w:rPr>
        <w:t xml:space="preserve">5.2 </w:t>
      </w:r>
      <w:r>
        <w:rPr>
          <w:rFonts w:hint="eastAsia"/>
          <w:color w:val="auto"/>
        </w:rPr>
        <w:t>时序数据要求</w:t>
      </w:r>
    </w:p>
    <w:p w14:paraId="3060FB83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同设备同指标同时间戳唯一，支持幂等写入；</w:t>
      </w:r>
    </w:p>
    <w:p w14:paraId="4714B9E4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按时间分区/分表，支撑高频写入与时间窗查询；</w:t>
      </w:r>
    </w:p>
    <w:p w14:paraId="3BFDEAD9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预聚合粒度：时/日/月，支撑大屏与报表快速读取；</w:t>
      </w:r>
    </w:p>
    <w:p w14:paraId="2754F211">
      <w:pPr>
        <w:pStyle w:val="24"/>
        <w:numPr>
          <w:ilvl w:val="0"/>
          <w:numId w:val="16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关闭时（</w:t>
      </w:r>
      <w:r>
        <w:rPr>
          <w:rStyle w:val="48"/>
          <w:color w:val="auto"/>
        </w:rPr>
        <w:t>td.enabled=false</w:t>
      </w:r>
      <w:r>
        <w:rPr>
          <w:rFonts w:hint="eastAsia"/>
          <w:color w:val="auto"/>
        </w:rPr>
        <w:t>）使用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时序表与聚合任务保证功能等价，性能指标可按部署规模另行约定；</w:t>
      </w:r>
    </w:p>
    <w:p w14:paraId="2D48E32D">
      <w:pPr>
        <w:pStyle w:val="24"/>
        <w:numPr>
          <w:ilvl w:val="0"/>
          <w:numId w:val="16"/>
        </w:numPr>
        <w:rPr>
          <w:color w:val="auto"/>
        </w:rPr>
      </w:pPr>
      <w:r>
        <w:rPr>
          <w:rFonts w:hint="eastAsia"/>
          <w:color w:val="auto"/>
        </w:rPr>
        <w:t>质量戳随数据点持久化，聚合默认仅取</w:t>
      </w:r>
      <w:r>
        <w:rPr>
          <w:color w:val="auto"/>
        </w:rPr>
        <w:t xml:space="preserve"> GOOD。</w:t>
      </w:r>
    </w:p>
    <w:bookmarkEnd w:id="68"/>
    <w:p w14:paraId="347BAAB9">
      <w:pPr>
        <w:pStyle w:val="4"/>
        <w:rPr>
          <w:color w:val="auto"/>
        </w:rPr>
      </w:pPr>
      <w:bookmarkStart w:id="69" w:name="数据质量与生命周期"/>
      <w:r>
        <w:rPr>
          <w:color w:val="auto"/>
        </w:rPr>
        <w:t xml:space="preserve">5.3 </w:t>
      </w:r>
      <w:r>
        <w:rPr>
          <w:rFonts w:hint="eastAsia"/>
          <w:color w:val="auto"/>
        </w:rPr>
        <w:t>数据质量与生命周期</w:t>
      </w:r>
    </w:p>
    <w:p w14:paraId="4733189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入库前校验：类型、量程、时间合理性；异常数据标记而非丢弃；</w:t>
      </w:r>
    </w:p>
    <w:p w14:paraId="0ED5ADD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未映射数据隔离区保留期限与重放机制（FR-HOSP-03/05）；</w:t>
      </w:r>
    </w:p>
    <w:p w14:paraId="5F98385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归档与清理任务由</w:t>
      </w:r>
      <w:r>
        <w:rPr>
          <w:color w:val="auto"/>
        </w:rPr>
        <w:t xml:space="preserve"> XXL-Job </w:t>
      </w:r>
      <w:r>
        <w:rPr>
          <w:rFonts w:hint="eastAsia"/>
          <w:color w:val="auto"/>
        </w:rPr>
        <w:t>调度，按保留策略执行并留痕；</w:t>
      </w:r>
    </w:p>
    <w:p w14:paraId="1C93203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海外院区数据支持按合规要求配置留存周期与删除流程（数据最小化）。</w:t>
      </w:r>
    </w:p>
    <w:bookmarkEnd w:id="69"/>
    <w:p w14:paraId="2232155E">
      <w:pPr>
        <w:pStyle w:val="4"/>
        <w:rPr>
          <w:color w:val="auto"/>
        </w:rPr>
      </w:pPr>
      <w:bookmarkStart w:id="70" w:name="数据隔离与备份"/>
      <w:r>
        <w:rPr>
          <w:color w:val="auto"/>
        </w:rPr>
        <w:t xml:space="preserve">5.4 </w:t>
      </w:r>
      <w:r>
        <w:rPr>
          <w:rFonts w:hint="eastAsia"/>
          <w:color w:val="auto"/>
        </w:rPr>
        <w:t>数据隔离与备份</w:t>
      </w:r>
    </w:p>
    <w:p w14:paraId="5A3B981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院区级逻辑隔离强制写入与查询条件；</w:t>
      </w:r>
    </w:p>
    <w:p w14:paraId="06B9A848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MySQL </w:t>
      </w:r>
      <w:r>
        <w:rPr>
          <w:rFonts w:hint="eastAsia"/>
          <w:color w:val="auto"/>
        </w:rPr>
        <w:t>定时备份、TDengine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按其备份策略；备份可恢复、定期演练；</w:t>
      </w:r>
    </w:p>
    <w:p w14:paraId="78371D6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敏感配置加密存储；导出行为受控并审计。</w:t>
      </w:r>
    </w:p>
    <w:p w14:paraId="64969DB1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0"/>
    <w:p w14:paraId="1C676AD7">
      <w:pPr>
        <w:pStyle w:val="2"/>
        <w:rPr>
          <w:color w:val="auto"/>
        </w:rPr>
      </w:pPr>
      <w:bookmarkStart w:id="71" w:name="非功能需求"/>
      <w:r>
        <w:rPr>
          <w:color w:val="auto"/>
        </w:rPr>
        <w:t xml:space="preserve">6. </w:t>
      </w:r>
      <w:r>
        <w:rPr>
          <w:rFonts w:hint="eastAsia"/>
          <w:color w:val="auto"/>
        </w:rPr>
        <w:t>非功能需求</w:t>
      </w:r>
    </w:p>
    <w:p w14:paraId="7FD40452">
      <w:pPr>
        <w:pStyle w:val="4"/>
        <w:rPr>
          <w:color w:val="auto"/>
        </w:rPr>
      </w:pPr>
      <w:bookmarkStart w:id="72" w:name="性能需求"/>
      <w:r>
        <w:rPr>
          <w:color w:val="auto"/>
        </w:rPr>
        <w:t xml:space="preserve">6.1 </w:t>
      </w:r>
      <w:r>
        <w:rPr>
          <w:rFonts w:hint="eastAsia"/>
          <w:color w:val="auto"/>
        </w:rPr>
        <w:t>性能需求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29E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5BD7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0371B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</w:t>
            </w:r>
          </w:p>
        </w:tc>
        <w:tc>
          <w:p w14:paraId="6E7346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  <w:tc>
          <w:p w14:paraId="730863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适用范围</w:t>
            </w:r>
          </w:p>
        </w:tc>
      </w:tr>
      <w:tr w14:paraId="4C0E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224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NFR-PERF-01</w:t>
            </w:r>
          </w:p>
        </w:tc>
        <w:tc>
          <w:p w14:paraId="145A89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回调吞吐</w:t>
            </w:r>
          </w:p>
        </w:tc>
        <w:tc>
          <w:p w14:paraId="595464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单集群接入层处理能力</w:t>
            </w:r>
            <w:r>
              <w:rPr>
                <w:color w:val="auto"/>
              </w:rPr>
              <w:t xml:space="preserve"> ≥1000 </w:t>
            </w:r>
            <w:r>
              <w:rPr>
                <w:rFonts w:hint="eastAsia"/>
                <w:color w:val="auto"/>
              </w:rPr>
              <w:t>TPS（数据点/秒），可水平扩展</w:t>
            </w:r>
          </w:p>
        </w:tc>
        <w:tc>
          <w:p w14:paraId="4791F5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回调链路</w:t>
            </w:r>
          </w:p>
        </w:tc>
      </w:tr>
      <w:tr w14:paraId="2B5F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507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NFR-PERF-02</w:t>
            </w:r>
          </w:p>
        </w:tc>
        <w:tc>
          <w:p w14:paraId="22FE11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普通查询响应</w:t>
            </w:r>
          </w:p>
        </w:tc>
        <w:tc>
          <w:p w14:paraId="4B06B3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常规列表/查询</w:t>
            </w:r>
            <w:r>
              <w:rPr>
                <w:color w:val="auto"/>
              </w:rPr>
              <w:t xml:space="preserve"> P95 </w:t>
            </w:r>
            <w:r>
              <w:rPr>
                <w:rFonts w:hint="eastAsia"/>
                <w:color w:val="auto"/>
              </w:rPr>
              <w:t>≤1s（标准数据规模下）</w:t>
            </w:r>
          </w:p>
        </w:tc>
        <w:tc>
          <w:p w14:paraId="67A9D9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全平台查询类页面</w:t>
            </w:r>
          </w:p>
        </w:tc>
      </w:tr>
      <w:tr w14:paraId="5429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10D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NFR-PERF-03</w:t>
            </w:r>
          </w:p>
        </w:tc>
        <w:tc>
          <w:p w14:paraId="212116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大屏首屏</w:t>
            </w:r>
          </w:p>
        </w:tc>
        <w:tc>
          <w:p w14:paraId="1DFF3A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医院大屏首屏完整渲染</w:t>
            </w:r>
            <w:r>
              <w:rPr>
                <w:color w:val="auto"/>
              </w:rPr>
              <w:t xml:space="preserve"> ≤3s</w:t>
            </w:r>
          </w:p>
        </w:tc>
        <w:tc>
          <w:p w14:paraId="20AFCE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医院大屏/综合看板</w:t>
            </w:r>
          </w:p>
        </w:tc>
      </w:tr>
      <w:tr w14:paraId="377A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E29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NFR-PERF-04</w:t>
            </w:r>
          </w:p>
        </w:tc>
        <w:tc>
          <w:p w14:paraId="48A62B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实时性</w:t>
            </w:r>
          </w:p>
        </w:tc>
        <w:tc>
          <w:p w14:paraId="421DA7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数据点从接收到可在监测页可见，正常情况下</w:t>
            </w:r>
            <w:r>
              <w:rPr>
                <w:color w:val="auto"/>
              </w:rPr>
              <w:t xml:space="preserve"> ≤5s</w:t>
            </w:r>
          </w:p>
        </w:tc>
        <w:tc>
          <w:p w14:paraId="390770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</w:t>
            </w:r>
          </w:p>
        </w:tc>
      </w:tr>
      <w:tr w14:paraId="3307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558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NFR-PERF-05</w:t>
            </w:r>
          </w:p>
        </w:tc>
        <w:tc>
          <w:p w14:paraId="6B4906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异步削峰</w:t>
            </w:r>
          </w:p>
        </w:tc>
        <w:tc>
          <w:p w14:paraId="1CB14C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 </w:t>
            </w:r>
            <w:r>
              <w:rPr>
                <w:rFonts w:hint="eastAsia"/>
                <w:color w:val="auto"/>
              </w:rPr>
              <w:t>倍峰值持续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分钟不丢数、不雪崩，依赖队列缓冲</w:t>
            </w:r>
          </w:p>
        </w:tc>
        <w:tc>
          <w:p w14:paraId="75D5A1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回调落库</w:t>
            </w:r>
          </w:p>
        </w:tc>
      </w:tr>
      <w:tr w14:paraId="5BC0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85C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NFR-PERF-06</w:t>
            </w:r>
          </w:p>
        </w:tc>
        <w:tc>
          <w:p w14:paraId="614D8D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并发用户</w:t>
            </w:r>
          </w:p>
        </w:tc>
        <w:tc>
          <w:p w14:paraId="3CA55E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支持不少于</w:t>
            </w:r>
            <w:r>
              <w:rPr>
                <w:color w:val="auto"/>
              </w:rPr>
              <w:t xml:space="preserve"> 200 </w:t>
            </w:r>
            <w:r>
              <w:rPr>
                <w:rFonts w:hint="eastAsia"/>
                <w:color w:val="auto"/>
              </w:rPr>
              <w:t>并发在线用户常规操作</w:t>
            </w:r>
          </w:p>
        </w:tc>
        <w:tc>
          <w:p w14:paraId="054451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Web </w:t>
            </w:r>
            <w:r>
              <w:rPr>
                <w:rFonts w:hint="eastAsia"/>
                <w:color w:val="auto"/>
              </w:rPr>
              <w:t>端</w:t>
            </w:r>
          </w:p>
        </w:tc>
      </w:tr>
      <w:tr w14:paraId="2E7F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1AF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NFR-PERF-07</w:t>
            </w:r>
          </w:p>
        </w:tc>
        <w:tc>
          <w:p w14:paraId="60DF6E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</w:t>
            </w:r>
          </w:p>
        </w:tc>
        <w:tc>
          <w:p w14:paraId="0B6278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大数据量报表异步生成，10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万行级导出任务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分钟内完成并可下载</w:t>
            </w:r>
          </w:p>
        </w:tc>
        <w:tc>
          <w:p w14:paraId="2B60E7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报表引擎</w:t>
            </w:r>
          </w:p>
        </w:tc>
      </w:tr>
      <w:bookmarkEnd w:id="72"/>
    </w:tbl>
    <w:p w14:paraId="172CF6E2">
      <w:pPr>
        <w:pStyle w:val="4"/>
        <w:rPr>
          <w:color w:val="auto"/>
        </w:rPr>
      </w:pPr>
      <w:bookmarkStart w:id="73" w:name="安全需求"/>
      <w:r>
        <w:rPr>
          <w:color w:val="auto"/>
        </w:rPr>
        <w:t xml:space="preserve">6.2 </w:t>
      </w:r>
      <w:r>
        <w:rPr>
          <w:rFonts w:hint="eastAsia"/>
          <w:color w:val="auto"/>
        </w:rPr>
        <w:t>安全需求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69C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F9C5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0FB33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</w:tr>
      <w:tr w14:paraId="2F868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EC8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NFR-SEC-01</w:t>
            </w:r>
          </w:p>
        </w:tc>
        <w:tc>
          <w:p w14:paraId="1F9864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身份认证：Sa-Token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JWT；会话超时、失效与单点登可控</w:t>
            </w:r>
          </w:p>
        </w:tc>
      </w:tr>
      <w:tr w14:paraId="1D5ED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B7D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NFR-SEC-02</w:t>
            </w:r>
          </w:p>
        </w:tc>
        <w:tc>
          <w:p w14:paraId="23F71C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授权：菜单/按钮/数据三类权限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院区级隔离；默认最小权限</w:t>
            </w:r>
          </w:p>
        </w:tc>
      </w:tr>
      <w:tr w14:paraId="3A02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C63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NFR-SEC-03</w:t>
            </w:r>
          </w:p>
        </w:tc>
        <w:tc>
          <w:p w14:paraId="7852C4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传输安全：全链路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HTTPS；MQTT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支持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TLS；回调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Token/IP/签名三选一以上、推荐全部启用</w:t>
            </w:r>
          </w:p>
        </w:tc>
      </w:tr>
      <w:tr w14:paraId="1B6C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4415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NFR-SEC-04</w:t>
            </w:r>
          </w:p>
        </w:tc>
        <w:tc>
          <w:p w14:paraId="601B45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密码策略：复杂度、定期更换、失败锁定；初始密码投产必须修改</w:t>
            </w:r>
          </w:p>
        </w:tc>
      </w:tr>
      <w:tr w14:paraId="73A4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D69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NFR-SEC-05</w:t>
            </w:r>
          </w:p>
        </w:tc>
        <w:tc>
          <w:p w14:paraId="482FBE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敏感数据：凭证/密钥加密存储；日志与导出脱敏；接口不返回敏感明文</w:t>
            </w:r>
          </w:p>
        </w:tc>
      </w:tr>
      <w:tr w14:paraId="2D99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CC6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NFR-SEC-06</w:t>
            </w:r>
          </w:p>
        </w:tc>
        <w:tc>
          <w:p w14:paraId="043F6A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安全审计：登录、权限变更、鉴权失败、越权、导出、配置变更全部留痕，日志只增不改</w:t>
            </w:r>
          </w:p>
        </w:tc>
      </w:tr>
      <w:tr w14:paraId="32CE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492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NFR-SEC-07</w:t>
            </w:r>
          </w:p>
        </w:tc>
        <w:tc>
          <w:p w14:paraId="71E067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防护：防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注入/XSS/CSRF；接口限流；回调防重放、防伪造</w:t>
            </w:r>
          </w:p>
        </w:tc>
      </w:tr>
      <w:tr w14:paraId="497C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81A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NFR-SEC-08</w:t>
            </w:r>
          </w:p>
        </w:tc>
        <w:tc>
          <w:p w14:paraId="1CB889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依赖安全：不引入存在高危已知漏洞且无修复方案的组件</w:t>
            </w:r>
          </w:p>
        </w:tc>
      </w:tr>
      <w:bookmarkEnd w:id="73"/>
    </w:tbl>
    <w:p w14:paraId="6BE69D89">
      <w:pPr>
        <w:pStyle w:val="4"/>
        <w:rPr>
          <w:color w:val="auto"/>
        </w:rPr>
      </w:pPr>
      <w:bookmarkStart w:id="74" w:name="可用性与可靠性"/>
      <w:r>
        <w:rPr>
          <w:color w:val="auto"/>
        </w:rPr>
        <w:t xml:space="preserve">6.3 </w:t>
      </w:r>
      <w:r>
        <w:rPr>
          <w:rFonts w:hint="eastAsia"/>
          <w:color w:val="auto"/>
        </w:rPr>
        <w:t>可用性与可靠性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BCC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5845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17D452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</w:tr>
      <w:tr w14:paraId="2365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41D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NFR-REL-01</w:t>
            </w:r>
          </w:p>
        </w:tc>
        <w:tc>
          <w:p w14:paraId="63BF92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核心链路（回调接收—消息—存储—监测/报警）可用性</w:t>
            </w:r>
            <w:r>
              <w:rPr>
                <w:color w:val="auto"/>
              </w:rPr>
              <w:t xml:space="preserve"> ≥99.9%</w:t>
            </w:r>
          </w:p>
        </w:tc>
      </w:tr>
      <w:tr w14:paraId="4835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6FF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NFR-REL-02</w:t>
            </w:r>
          </w:p>
        </w:tc>
        <w:tc>
          <w:p w14:paraId="477491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数据可靠：回调失败可重试、死信可重放、可对账，承诺不丢数据</w:t>
            </w:r>
          </w:p>
        </w:tc>
      </w:tr>
      <w:tr w14:paraId="71CE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66A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NFR-REL-03</w:t>
            </w:r>
          </w:p>
        </w:tc>
        <w:tc>
          <w:p w14:paraId="444254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RTO ≤30 </w:t>
            </w:r>
            <w:r>
              <w:rPr>
                <w:rFonts w:hint="eastAsia"/>
                <w:color w:val="auto"/>
              </w:rPr>
              <w:t>分钟、RPO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≈0（通过消息持久化与补偿实现）</w:t>
            </w:r>
          </w:p>
        </w:tc>
      </w:tr>
      <w:tr w14:paraId="088D2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693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NFR-REL-04</w:t>
            </w:r>
          </w:p>
        </w:tc>
        <w:tc>
          <w:p w14:paraId="3ACEE2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接入层无状态可水平扩展；单点中间件故障不导致已接收数据丢失</w:t>
            </w:r>
          </w:p>
        </w:tc>
      </w:tr>
      <w:tr w14:paraId="017C2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118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NFR-REL-05</w:t>
            </w:r>
          </w:p>
        </w:tc>
        <w:tc>
          <w:p w14:paraId="4539F1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降级：TDengine、视频、天气、短信等外部依赖故障时主功能可用并明确提示</w:t>
            </w:r>
          </w:p>
        </w:tc>
      </w:tr>
      <w:bookmarkEnd w:id="74"/>
    </w:tbl>
    <w:p w14:paraId="0C1B05A9">
      <w:pPr>
        <w:pStyle w:val="4"/>
        <w:rPr>
          <w:color w:val="auto"/>
        </w:rPr>
      </w:pPr>
      <w:bookmarkStart w:id="75" w:name="可扩展性"/>
      <w:r>
        <w:rPr>
          <w:color w:val="auto"/>
        </w:rPr>
        <w:t xml:space="preserve">6.4 </w:t>
      </w:r>
      <w:r>
        <w:rPr>
          <w:rFonts w:hint="eastAsia"/>
          <w:color w:val="auto"/>
        </w:rPr>
        <w:t>可扩展性</w:t>
      </w:r>
    </w:p>
    <w:p w14:paraId="28611DC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设备、指标、院区、数据源均配置化接入，新增设备类别/厂商通过映射配置而非改代码；</w:t>
      </w:r>
    </w:p>
    <w:p w14:paraId="51CE068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接入层、消费层支持水平扩容；</w:t>
      </w:r>
    </w:p>
    <w:p w14:paraId="51F7CF6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医院模块与通用域解耦，新增行业包可参照同样加性模式扩展。</w:t>
      </w:r>
    </w:p>
    <w:bookmarkEnd w:id="75"/>
    <w:p w14:paraId="52D74808">
      <w:pPr>
        <w:pStyle w:val="4"/>
        <w:rPr>
          <w:color w:val="auto"/>
        </w:rPr>
      </w:pPr>
      <w:bookmarkStart w:id="76" w:name="兼容性"/>
      <w:r>
        <w:rPr>
          <w:color w:val="auto"/>
        </w:rPr>
        <w:t xml:space="preserve">6.5 </w:t>
      </w:r>
      <w:r>
        <w:rPr>
          <w:rFonts w:hint="eastAsia"/>
          <w:color w:val="auto"/>
        </w:rPr>
        <w:t>兼容性</w:t>
      </w:r>
    </w:p>
    <w:p w14:paraId="23D7488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服务端仅承诺</w:t>
      </w:r>
      <w:r>
        <w:rPr>
          <w:color w:val="auto"/>
        </w:rPr>
        <w:t xml:space="preserve"> JDK 1.8 </w:t>
      </w:r>
      <w:r>
        <w:rPr>
          <w:rFonts w:hint="eastAsia"/>
          <w:color w:val="auto"/>
        </w:rPr>
        <w:t>运行兼容；</w:t>
      </w:r>
    </w:p>
    <w:p w14:paraId="13885A4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浏览器兼容</w:t>
      </w:r>
      <w:r>
        <w:rPr>
          <w:color w:val="auto"/>
        </w:rPr>
        <w:t xml:space="preserve"> Chrome/Edge </w:t>
      </w:r>
      <w:r>
        <w:rPr>
          <w:rFonts w:hint="eastAsia"/>
          <w:color w:val="auto"/>
        </w:rPr>
        <w:t>主流版本；大屏</w:t>
      </w:r>
      <w:r>
        <w:rPr>
          <w:color w:val="auto"/>
        </w:rPr>
        <w:t xml:space="preserve"> 1920×1080 </w:t>
      </w:r>
      <w:r>
        <w:rPr>
          <w:rFonts w:hint="eastAsia"/>
          <w:color w:val="auto"/>
        </w:rPr>
        <w:t>起自适应；</w:t>
      </w:r>
    </w:p>
    <w:p w14:paraId="7352C37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与既有数据、接口、菜单、权限模型完全兼容，不产生破坏性变更；</w:t>
      </w:r>
    </w:p>
    <w:p w14:paraId="549472E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Vue3 </w:t>
      </w:r>
      <w:r>
        <w:rPr>
          <w:rFonts w:hint="eastAsia"/>
          <w:color w:val="auto"/>
        </w:rPr>
        <w:t>演进版/uni-app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移动端通过接口契约保持数据兼容预期。</w:t>
      </w:r>
    </w:p>
    <w:bookmarkEnd w:id="76"/>
    <w:p w14:paraId="0F886781">
      <w:pPr>
        <w:pStyle w:val="4"/>
        <w:rPr>
          <w:color w:val="auto"/>
        </w:rPr>
      </w:pPr>
      <w:bookmarkStart w:id="77" w:name="易用性"/>
      <w:r>
        <w:rPr>
          <w:color w:val="auto"/>
        </w:rPr>
        <w:t xml:space="preserve">6.6 </w:t>
      </w:r>
      <w:r>
        <w:rPr>
          <w:rFonts w:hint="eastAsia"/>
          <w:color w:val="auto"/>
        </w:rPr>
        <w:t>易用性</w:t>
      </w:r>
    </w:p>
    <w:p w14:paraId="0305C92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决策层页面操作层级不超过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级即可到达核心指标；</w:t>
      </w:r>
    </w:p>
    <w:p w14:paraId="4964A29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列表统一查询/导出/列设置规范；表单提供校验与错误指引；</w:t>
      </w:r>
    </w:p>
    <w:p w14:paraId="7FB3BB5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关键流程（报警处置、工单、回调补偿）提供向导与批量操作；</w:t>
      </w:r>
    </w:p>
    <w:p w14:paraId="67CF350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培训后普通用户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分钟内可完成日常查询与处置操作。</w:t>
      </w:r>
    </w:p>
    <w:bookmarkEnd w:id="77"/>
    <w:p w14:paraId="06337798">
      <w:pPr>
        <w:pStyle w:val="4"/>
        <w:rPr>
          <w:color w:val="auto"/>
        </w:rPr>
      </w:pPr>
      <w:bookmarkStart w:id="78" w:name="国际化与本地化"/>
      <w:r>
        <w:rPr>
          <w:color w:val="auto"/>
        </w:rPr>
        <w:t xml:space="preserve">6.7 </w:t>
      </w:r>
      <w:r>
        <w:rPr>
          <w:rFonts w:hint="eastAsia"/>
          <w:color w:val="auto"/>
        </w:rPr>
        <w:t>国际化与本地化</w:t>
      </w:r>
    </w:p>
    <w:p w14:paraId="05640E9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框架支持中/英/俄/印尼，本期医院模块必达中文与英文；</w:t>
      </w:r>
    </w:p>
    <w:p w14:paraId="01526B8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多时区存储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UTC、按院区展示；报表标注时区；</w:t>
      </w:r>
    </w:p>
    <w:p w14:paraId="50DD4AB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单位体系可配置（公制优先），数值与货币本地化格式。</w:t>
      </w:r>
    </w:p>
    <w:bookmarkEnd w:id="78"/>
    <w:p w14:paraId="495A48AE">
      <w:pPr>
        <w:pStyle w:val="4"/>
        <w:rPr>
          <w:color w:val="auto"/>
        </w:rPr>
      </w:pPr>
      <w:bookmarkStart w:id="79" w:name="可维护性与可移植性"/>
      <w:r>
        <w:rPr>
          <w:color w:val="auto"/>
        </w:rPr>
        <w:t xml:space="preserve">6.8 </w:t>
      </w:r>
      <w:r>
        <w:rPr>
          <w:rFonts w:hint="eastAsia"/>
          <w:color w:val="auto"/>
        </w:rPr>
        <w:t>可维护性与可移植性</w:t>
      </w:r>
    </w:p>
    <w:p w14:paraId="42EC856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模块分包清晰、医院模块独立包与表前缀；配置外部化；关键链路有日志与监控埋点；</w:t>
      </w:r>
    </w:p>
    <w:p w14:paraId="08905E0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支持</w:t>
      </w:r>
      <w:r>
        <w:rPr>
          <w:color w:val="auto"/>
        </w:rPr>
        <w:t xml:space="preserve"> Docker </w:t>
      </w:r>
      <w:r>
        <w:rPr>
          <w:rFonts w:hint="eastAsia"/>
          <w:color w:val="auto"/>
        </w:rPr>
        <w:t>化部署与中间件环境切换；数据库与中间件连接参数环境变量化；</w:t>
      </w:r>
    </w:p>
    <w:p w14:paraId="0528943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提供部署/故障排查文档（参见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docs/部署指南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系列）。</w:t>
      </w:r>
    </w:p>
    <w:p w14:paraId="0C7AC2A4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9"/>
    <w:p w14:paraId="071882B4">
      <w:pPr>
        <w:pStyle w:val="2"/>
        <w:rPr>
          <w:color w:val="auto"/>
        </w:rPr>
      </w:pPr>
      <w:bookmarkStart w:id="80" w:name="合规与隐私需求"/>
      <w:r>
        <w:rPr>
          <w:color w:val="auto"/>
        </w:rPr>
        <w:t xml:space="preserve">7. </w:t>
      </w:r>
      <w:r>
        <w:rPr>
          <w:rFonts w:hint="eastAsia"/>
          <w:color w:val="auto"/>
        </w:rPr>
        <w:t>合规与隐私需求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AA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E798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6EDE61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28F991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</w:tr>
      <w:tr w14:paraId="51AF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3E4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CMP-01</w:t>
            </w:r>
          </w:p>
        </w:tc>
        <w:tc>
          <w:p w14:paraId="542211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等级保护</w:t>
            </w:r>
          </w:p>
        </w:tc>
        <w:tc>
          <w:p w14:paraId="4AEF18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按等保要求实现身份鉴别、访问控制、安全审计、入侵防范、数据完整性/保密性控制；留存审计日志并定期检查</w:t>
            </w:r>
          </w:p>
        </w:tc>
      </w:tr>
      <w:tr w14:paraId="5E66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C8C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CMP-02</w:t>
            </w:r>
          </w:p>
        </w:tc>
        <w:tc>
          <w:p w14:paraId="0480BA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密码与凭证</w:t>
            </w:r>
          </w:p>
        </w:tc>
        <w:tc>
          <w:p w14:paraId="6112F1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凭证不明文、不入库日志；密钥可轮换；初始密码强制修改</w:t>
            </w:r>
          </w:p>
        </w:tc>
      </w:tr>
      <w:tr w14:paraId="25752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6AC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CMP-03</w:t>
            </w:r>
          </w:p>
        </w:tc>
        <w:tc>
          <w:p w14:paraId="5B6C57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审计追溯</w:t>
            </w:r>
          </w:p>
        </w:tc>
        <w:tc>
          <w:p w14:paraId="6BB62C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关键配置、回调凭证、权限、数据导出、越权尝试可追溯到人与时间</w:t>
            </w:r>
          </w:p>
        </w:tc>
      </w:tr>
      <w:tr w14:paraId="524D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A9D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CMP-04</w:t>
            </w:r>
          </w:p>
        </w:tc>
        <w:tc>
          <w:p w14:paraId="49C722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GDPR/数据最小化</w:t>
            </w:r>
          </w:p>
        </w:tc>
        <w:tc>
          <w:p w14:paraId="78C7A1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海外院区仅采集设备与能耗管理所必需的数据，不采集患者/无关人员信息；目的限定、字段最小、按院区授权</w:t>
            </w:r>
          </w:p>
        </w:tc>
      </w:tr>
      <w:tr w14:paraId="6FDC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773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CMP-05</w:t>
            </w:r>
          </w:p>
        </w:tc>
        <w:tc>
          <w:p w14:paraId="566113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数据主体权利预留</w:t>
            </w:r>
          </w:p>
        </w:tc>
        <w:tc>
          <w:p w14:paraId="2C7E0C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支持按院区配置数据留存周期，提供数据查询与删除的运维流程与记录</w:t>
            </w:r>
          </w:p>
        </w:tc>
      </w:tr>
      <w:tr w14:paraId="372D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281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CMP-06</w:t>
            </w:r>
          </w:p>
        </w:tc>
        <w:tc>
          <w:p w14:paraId="0D01A4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跨境说明</w:t>
            </w:r>
          </w:p>
        </w:tc>
        <w:tc>
          <w:p w14:paraId="09A4EF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海外数据跨境传输前须经客户法务确认；平台提供隔离存储与最小同步能力</w:t>
            </w:r>
          </w:p>
        </w:tc>
      </w:tr>
      <w:tr w14:paraId="6DE7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328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CMP-07</w:t>
            </w:r>
          </w:p>
        </w:tc>
        <w:tc>
          <w:p w14:paraId="220321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行业安全</w:t>
            </w:r>
          </w:p>
        </w:tc>
        <w:tc>
          <w:p w14:paraId="2DE6C4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节能建议不得默认自动控制医疗设备；任何建议标注诊疗安全约束</w:t>
            </w:r>
          </w:p>
        </w:tc>
      </w:tr>
      <w:tr w14:paraId="76F48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C49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CMP-08</w:t>
            </w:r>
          </w:p>
        </w:tc>
        <w:tc>
          <w:p w14:paraId="4812DD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电子记录</w:t>
            </w:r>
          </w:p>
        </w:tc>
        <w:tc>
          <w:p w14:paraId="14B093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报警、工单、巡检、检定等记录不可篡改、可导出，满足节能监察台账要求</w:t>
            </w:r>
          </w:p>
        </w:tc>
      </w:tr>
    </w:tbl>
    <w:p w14:paraId="64D201E8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52326DFC">
      <w:pPr>
        <w:pStyle w:val="2"/>
        <w:rPr>
          <w:color w:val="auto"/>
        </w:rPr>
      </w:pPr>
      <w:bookmarkStart w:id="81" w:name="验收准则"/>
      <w:r>
        <w:rPr>
          <w:color w:val="auto"/>
        </w:rPr>
        <w:t xml:space="preserve">8. </w:t>
      </w:r>
      <w:r>
        <w:rPr>
          <w:rFonts w:hint="eastAsia"/>
          <w:color w:val="auto"/>
        </w:rPr>
        <w:t>验收准则</w:t>
      </w:r>
    </w:p>
    <w:p w14:paraId="2627AD81">
      <w:pPr>
        <w:pStyle w:val="4"/>
        <w:rPr>
          <w:color w:val="auto"/>
        </w:rPr>
      </w:pPr>
      <w:bookmarkStart w:id="82" w:name="总体准则"/>
      <w:r>
        <w:rPr>
          <w:color w:val="auto"/>
        </w:rPr>
        <w:t xml:space="preserve">8.1 </w:t>
      </w:r>
      <w:r>
        <w:rPr>
          <w:rFonts w:hint="eastAsia"/>
          <w:color w:val="auto"/>
        </w:rPr>
        <w:t>总体准则</w:t>
      </w:r>
    </w:p>
    <w:p w14:paraId="2E7D321E">
      <w:pPr>
        <w:pStyle w:val="24"/>
        <w:numPr>
          <w:ilvl w:val="0"/>
          <w:numId w:val="17"/>
        </w:numPr>
        <w:rPr>
          <w:color w:val="auto"/>
        </w:rPr>
      </w:pPr>
      <w:r>
        <w:rPr>
          <w:color w:val="auto"/>
        </w:rPr>
        <w:t xml:space="preserve">P0 </w:t>
      </w:r>
      <w:r>
        <w:rPr>
          <w:rFonts w:hint="eastAsia"/>
          <w:color w:val="auto"/>
        </w:rPr>
        <w:t>需求</w:t>
      </w:r>
      <w:r>
        <w:rPr>
          <w:color w:val="auto"/>
        </w:rPr>
        <w:t xml:space="preserve"> 100% </w:t>
      </w:r>
      <w:r>
        <w:rPr>
          <w:rFonts w:hint="eastAsia"/>
          <w:color w:val="auto"/>
        </w:rPr>
        <w:t>实现并通过测试，不存在遗留致命/严重缺陷；P1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需求遗留缺陷有规避方案并经客户书面接受；</w:t>
      </w:r>
    </w:p>
    <w:p w14:paraId="71637B7C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每项</w:t>
      </w:r>
      <w:r>
        <w:rPr>
          <w:color w:val="auto"/>
        </w:rPr>
        <w:t xml:space="preserve"> FR/NFR </w:t>
      </w:r>
      <w:r>
        <w:rPr>
          <w:rFonts w:hint="eastAsia"/>
          <w:color w:val="auto"/>
        </w:rPr>
        <w:t>至少对应一条测试用例（见《需求跟踪矩阵》与测试用例库）；</w:t>
      </w:r>
    </w:p>
    <w:p w14:paraId="6974B4CF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在客户确认的标准数据规模与压测环境下达成第</w:t>
      </w:r>
      <w:r>
        <w:rPr>
          <w:color w:val="auto"/>
        </w:rPr>
        <w:t xml:space="preserve"> 6 </w:t>
      </w:r>
      <w:r>
        <w:rPr>
          <w:rFonts w:hint="eastAsia"/>
          <w:color w:val="auto"/>
        </w:rPr>
        <w:t>章量化指标；</w:t>
      </w:r>
    </w:p>
    <w:p w14:paraId="725B1696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既有业务域回归测试通过，证明加性开发未改变既有行为；</w:t>
      </w:r>
    </w:p>
    <w:p w14:paraId="60A79ADE">
      <w:pPr>
        <w:pStyle w:val="24"/>
        <w:numPr>
          <w:ilvl w:val="0"/>
          <w:numId w:val="17"/>
        </w:numPr>
        <w:rPr>
          <w:color w:val="auto"/>
        </w:rPr>
      </w:pPr>
      <w:r>
        <w:rPr>
          <w:rFonts w:hint="eastAsia"/>
          <w:color w:val="auto"/>
        </w:rPr>
        <w:t>完成部署文档、用户手册与运维交接。</w:t>
      </w:r>
    </w:p>
    <w:bookmarkEnd w:id="82"/>
    <w:p w14:paraId="6F72288F">
      <w:pPr>
        <w:pStyle w:val="4"/>
        <w:rPr>
          <w:color w:val="auto"/>
        </w:rPr>
      </w:pPr>
      <w:bookmarkStart w:id="83" w:name="关键验收场景节选"/>
      <w:r>
        <w:rPr>
          <w:color w:val="auto"/>
        </w:rPr>
        <w:t xml:space="preserve">8.2 </w:t>
      </w:r>
      <w:r>
        <w:rPr>
          <w:rFonts w:hint="eastAsia"/>
          <w:color w:val="auto"/>
        </w:rPr>
        <w:t>关键验收场景（节选）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1ADA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376F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场景</w:t>
            </w:r>
          </w:p>
        </w:tc>
        <w:tc>
          <w:p w14:paraId="0979ED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验收点</w:t>
            </w:r>
          </w:p>
        </w:tc>
      </w:tr>
      <w:tr w14:paraId="7F60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5F2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回调接入</w:t>
            </w:r>
          </w:p>
        </w:tc>
        <w:tc>
          <w:p w14:paraId="00D6C9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以</w:t>
            </w:r>
            <w:r>
              <w:rPr>
                <w:color w:val="auto"/>
              </w:rPr>
              <w:t xml:space="preserve"> ≥1000 TPS </w:t>
            </w:r>
            <w:r>
              <w:rPr>
                <w:rFonts w:hint="eastAsia"/>
                <w:color w:val="auto"/>
              </w:rPr>
              <w:t>压测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分钟，接收数=入库数，无丢失；鉴权失败请求</w:t>
            </w:r>
            <w:r>
              <w:rPr>
                <w:color w:val="auto"/>
              </w:rPr>
              <w:t xml:space="preserve"> 100% </w:t>
            </w:r>
            <w:r>
              <w:rPr>
                <w:rFonts w:hint="eastAsia"/>
                <w:color w:val="auto"/>
              </w:rPr>
              <w:t>拒绝且有日志</w:t>
            </w:r>
          </w:p>
        </w:tc>
      </w:tr>
      <w:tr w14:paraId="5129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F99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可靠补偿</w:t>
            </w:r>
          </w:p>
        </w:tc>
        <w:tc>
          <w:p w14:paraId="1D63A0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模拟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MySQL/TDengine/网络故障，消息重试与死信重放后数据完整、幂等无重复</w:t>
            </w:r>
          </w:p>
        </w:tc>
      </w:tr>
      <w:tr w14:paraId="01FB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DA3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关闭</w:t>
            </w:r>
          </w:p>
        </w:tc>
        <w:tc>
          <w:p w14:paraId="6315308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td.enabled=false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下监测、查询、报警功能可用</w:t>
            </w:r>
          </w:p>
        </w:tc>
      </w:tr>
      <w:tr w14:paraId="474D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E85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标准化</w:t>
            </w:r>
          </w:p>
        </w:tc>
        <w:tc>
          <w:p w14:paraId="1977A7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厂商报文全部映射为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StandardDataPoint；未映射数据进入隔离区并可补映射重放</w:t>
            </w:r>
          </w:p>
        </w:tc>
      </w:tr>
      <w:tr w14:paraId="1785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C7A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医院闭环</w:t>
            </w:r>
          </w:p>
        </w:tc>
        <w:tc>
          <w:p w14:paraId="7B14F0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设备越限报警→邮件/工单→处置→闭环统计链路贯通</w:t>
            </w:r>
          </w:p>
        </w:tc>
      </w:tr>
      <w:tr w14:paraId="4A1B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E73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能效评估</w:t>
            </w:r>
          </w:p>
        </w:tc>
        <w:tc>
          <w:p w14:paraId="153824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单位工作量能耗、排名、标杆结果可复算、可解释</w:t>
            </w:r>
          </w:p>
        </w:tc>
      </w:tr>
      <w:tr w14:paraId="7BB1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C57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多院区隔离</w:t>
            </w:r>
          </w:p>
        </w:tc>
        <w:tc>
          <w:p w14:paraId="60A2D4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</w:t>
            </w:r>
            <w:r>
              <w:rPr>
                <w:color w:val="auto"/>
              </w:rPr>
              <w:t xml:space="preserve"> A </w:t>
            </w:r>
            <w:r>
              <w:rPr>
                <w:rFonts w:hint="eastAsia"/>
                <w:color w:val="auto"/>
              </w:rPr>
              <w:t>用户无法以任何页面/接口看到院区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数据，越权有审计</w:t>
            </w:r>
          </w:p>
        </w:tc>
      </w:tr>
      <w:tr w14:paraId="05948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45B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国际化</w:t>
            </w:r>
          </w:p>
        </w:tc>
        <w:tc>
          <w:p w14:paraId="502814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中英文切换无硬编码遗漏；时间按院区时区展示</w:t>
            </w:r>
          </w:p>
        </w:tc>
      </w:tr>
      <w:tr w14:paraId="0785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1DE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</w:t>
            </w:r>
          </w:p>
        </w:tc>
        <w:tc>
          <w:p w14:paraId="15F66E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≤3s，断网/部分数据异常时不白屏</w:t>
            </w:r>
          </w:p>
        </w:tc>
      </w:tr>
      <w:tr w14:paraId="4F1C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5E0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合规</w:t>
            </w:r>
          </w:p>
        </w:tc>
        <w:tc>
          <w:p w14:paraId="6A530C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审计可追溯；无患者数据采集项；凭证加密</w:t>
            </w:r>
          </w:p>
        </w:tc>
      </w:tr>
      <w:bookmarkEnd w:id="83"/>
    </w:tbl>
    <w:p w14:paraId="0D494CCD">
      <w:pPr>
        <w:pStyle w:val="4"/>
        <w:rPr>
          <w:color w:val="auto"/>
        </w:rPr>
      </w:pPr>
      <w:bookmarkStart w:id="84" w:name="缺陷分级"/>
      <w:r>
        <w:rPr>
          <w:color w:val="auto"/>
        </w:rPr>
        <w:t xml:space="preserve">8.3 </w:t>
      </w:r>
      <w:r>
        <w:rPr>
          <w:rFonts w:hint="eastAsia"/>
          <w:color w:val="auto"/>
        </w:rPr>
        <w:t>缺陷分级</w:t>
      </w:r>
    </w:p>
    <w:p w14:paraId="154E79E1">
      <w:pPr>
        <w:pStyle w:val="23"/>
        <w:rPr>
          <w:color w:val="auto"/>
        </w:rPr>
      </w:pPr>
      <w:r>
        <w:rPr>
          <w:rFonts w:hint="eastAsia"/>
          <w:color w:val="auto"/>
        </w:rPr>
        <w:t>致命（核心链路中断/数据丢失/安全绕过）、严重（主要功能不可用）、一般（功能异常有规避）、轻微（体验/文案）；致命与严重缺陷清零方可验收。</w:t>
      </w:r>
    </w:p>
    <w:p w14:paraId="71D73C99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4"/>
    <w:p w14:paraId="5374A628">
      <w:pPr>
        <w:pStyle w:val="2"/>
        <w:rPr>
          <w:color w:val="auto"/>
        </w:rPr>
      </w:pPr>
      <w:bookmarkStart w:id="85" w:name="需求追溯与变更控制"/>
      <w:r>
        <w:rPr>
          <w:color w:val="auto"/>
        </w:rPr>
        <w:t xml:space="preserve">9. </w:t>
      </w:r>
      <w:r>
        <w:rPr>
          <w:rFonts w:hint="eastAsia"/>
          <w:color w:val="auto"/>
        </w:rPr>
        <w:t>需求追溯与变更控制</w:t>
      </w:r>
    </w:p>
    <w:p w14:paraId="1CC04592">
      <w:pPr>
        <w:pStyle w:val="4"/>
        <w:rPr>
          <w:color w:val="auto"/>
        </w:rPr>
      </w:pPr>
      <w:bookmarkStart w:id="86" w:name="需求追溯"/>
      <w:r>
        <w:rPr>
          <w:color w:val="auto"/>
        </w:rPr>
        <w:t xml:space="preserve">9.1 </w:t>
      </w:r>
      <w:r>
        <w:rPr>
          <w:rFonts w:hint="eastAsia"/>
          <w:color w:val="auto"/>
        </w:rPr>
        <w:t>需求追溯</w:t>
      </w:r>
    </w:p>
    <w:p w14:paraId="1BBC5DC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</w:t>
      </w:r>
      <w:r>
        <w:rPr>
          <w:color w:val="auto"/>
        </w:rPr>
        <w:t xml:space="preserve"> SRS </w:t>
      </w:r>
      <w:r>
        <w:rPr>
          <w:rFonts w:hint="eastAsia"/>
          <w:color w:val="auto"/>
        </w:rPr>
        <w:t>全部</w:t>
      </w:r>
      <w:r>
        <w:rPr>
          <w:color w:val="auto"/>
        </w:rPr>
        <w:t xml:space="preserve"> FR/NFR </w:t>
      </w:r>
      <w:r>
        <w:rPr>
          <w:rFonts w:hint="eastAsia"/>
          <w:color w:val="auto"/>
        </w:rPr>
        <w:t>纳入《需求跟踪矩阵》（docs/01需求/01-03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需求跟踪矩阵.md），跟踪来源→需求→设计→开发任务→测试用例→验收标准→状态；</w:t>
      </w:r>
    </w:p>
    <w:p w14:paraId="6DEEE05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</w:t>
      </w:r>
      <w:r>
        <w:rPr>
          <w:color w:val="auto"/>
        </w:rPr>
        <w:t xml:space="preserve"> FR-HOSP-01~20 </w:t>
      </w:r>
      <w:r>
        <w:rPr>
          <w:rFonts w:hint="eastAsia"/>
          <w:color w:val="auto"/>
        </w:rPr>
        <w:t>与里程碑</w:t>
      </w:r>
      <w:r>
        <w:rPr>
          <w:color w:val="auto"/>
        </w:rPr>
        <w:t xml:space="preserve"> M1~M4 </w:t>
      </w:r>
      <w:r>
        <w:rPr>
          <w:rFonts w:hint="eastAsia"/>
          <w:color w:val="auto"/>
        </w:rPr>
        <w:t>建立映射，确保每阶段交付可核查。</w:t>
      </w:r>
    </w:p>
    <w:bookmarkEnd w:id="86"/>
    <w:p w14:paraId="2C8CAFE4">
      <w:pPr>
        <w:pStyle w:val="4"/>
        <w:rPr>
          <w:color w:val="auto"/>
        </w:rPr>
      </w:pPr>
      <w:bookmarkStart w:id="87" w:name="变更控制"/>
      <w:r>
        <w:rPr>
          <w:color w:val="auto"/>
        </w:rPr>
        <w:t xml:space="preserve">9.2 </w:t>
      </w:r>
      <w:r>
        <w:rPr>
          <w:rFonts w:hint="eastAsia"/>
          <w:color w:val="auto"/>
        </w:rPr>
        <w:t>变更控制</w:t>
      </w:r>
    </w:p>
    <w:p w14:paraId="54AAFCE1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任何需求变更须提交变更申请（原因、影响范围、对进度/成本/质量/合规的影响）；</w:t>
      </w:r>
    </w:p>
    <w:p w14:paraId="5218A727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由产品负责人组织影响分析，架构师、测试、IOT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运维（涉及接口时）会签；</w:t>
      </w:r>
    </w:p>
    <w:p w14:paraId="16A305A8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涉及外部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接口契约、数据口径、非功能指标、合规章的变更须升级评审；</w:t>
      </w:r>
    </w:p>
    <w:p w14:paraId="38FE6BAF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批准后更新</w:t>
      </w:r>
      <w:r>
        <w:rPr>
          <w:color w:val="auto"/>
        </w:rPr>
        <w:t xml:space="preserve"> SRS </w:t>
      </w:r>
      <w:r>
        <w:rPr>
          <w:rFonts w:hint="eastAsia"/>
          <w:color w:val="auto"/>
        </w:rPr>
        <w:t>版本、跟踪矩阵与相关设计/用例，并通知所有干系人；</w:t>
      </w:r>
    </w:p>
    <w:p w14:paraId="7F8AC93F">
      <w:pPr>
        <w:pStyle w:val="24"/>
        <w:numPr>
          <w:ilvl w:val="0"/>
          <w:numId w:val="18"/>
        </w:numPr>
        <w:rPr>
          <w:color w:val="auto"/>
        </w:rPr>
      </w:pPr>
      <w:r>
        <w:rPr>
          <w:rFonts w:hint="eastAsia"/>
          <w:color w:val="auto"/>
        </w:rPr>
        <w:t>已基线版本（V1.0，</w:t>
      </w:r>
      <w:r>
        <w:rPr>
          <w:rFonts w:hint="eastAsia"/>
          <w:color w:val="auto"/>
          <w:lang w:eastAsia="zh-CN"/>
        </w:rPr>
        <w:t>2025</w:t>
      </w:r>
      <w:r>
        <w:rPr>
          <w:rFonts w:hint="eastAsia"/>
          <w:color w:val="auto"/>
        </w:rPr>
        <w:t>-09-14）之后的变更记录于跟踪矩阵变更记录表。</w:t>
      </w:r>
    </w:p>
    <w:p w14:paraId="4B43AEE7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5"/>
    <w:bookmarkEnd w:id="87"/>
    <w:p w14:paraId="650950C7">
      <w:pPr>
        <w:pStyle w:val="2"/>
        <w:rPr>
          <w:color w:val="auto"/>
        </w:rPr>
      </w:pPr>
      <w:bookmarkStart w:id="88" w:name="附录-a-需求优先级定义"/>
      <w:r>
        <w:rPr>
          <w:rFonts w:hint="eastAsia"/>
          <w:color w:val="auto"/>
        </w:rPr>
        <w:t>附录</w:t>
      </w:r>
      <w:r>
        <w:rPr>
          <w:color w:val="auto"/>
        </w:rPr>
        <w:t xml:space="preserve"> A </w:t>
      </w:r>
      <w:r>
        <w:rPr>
          <w:rFonts w:hint="eastAsia"/>
          <w:color w:val="auto"/>
        </w:rPr>
        <w:t>需求优先级定义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EC29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1391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  <w:tc>
          <w:p w14:paraId="48273B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定义</w:t>
            </w:r>
          </w:p>
        </w:tc>
        <w:tc>
          <w:p w14:paraId="426877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验收要求</w:t>
            </w:r>
          </w:p>
        </w:tc>
      </w:tr>
      <w:tr w14:paraId="6834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A79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P0 </w:t>
            </w:r>
            <w:r>
              <w:rPr>
                <w:rFonts w:hint="eastAsia"/>
                <w:color w:val="auto"/>
              </w:rPr>
              <w:t>必须（Must）</w:t>
            </w:r>
          </w:p>
        </w:tc>
        <w:tc>
          <w:p w14:paraId="6A72BD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产品可用与本项目目标成立的必要条件，缺失即不可验收</w:t>
            </w:r>
          </w:p>
        </w:tc>
        <w:tc>
          <w:p w14:paraId="66A9ED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</w:t>
            </w:r>
            <w:r>
              <w:rPr>
                <w:color w:val="auto"/>
              </w:rPr>
              <w:t xml:space="preserve"> 100% </w:t>
            </w:r>
            <w:r>
              <w:rPr>
                <w:rFonts w:hint="eastAsia"/>
                <w:color w:val="auto"/>
              </w:rPr>
              <w:t>实现并通过测试</w:t>
            </w:r>
          </w:p>
        </w:tc>
      </w:tr>
      <w:tr w14:paraId="0114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6D2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P1 </w:t>
            </w:r>
            <w:r>
              <w:rPr>
                <w:rFonts w:hint="eastAsia"/>
                <w:color w:val="auto"/>
              </w:rPr>
              <w:t>应该（Should）</w:t>
            </w:r>
          </w:p>
        </w:tc>
        <w:tc>
          <w:p w14:paraId="1B4F45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显著增强业务价值，可在版本内交付；特殊情况下可经审批顺延</w:t>
            </w:r>
          </w:p>
        </w:tc>
        <w:tc>
          <w:p w14:paraId="0A3353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原则上本版本交付，遗留需书面接受</w:t>
            </w:r>
          </w:p>
        </w:tc>
      </w:tr>
      <w:tr w14:paraId="5235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52F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P2 </w:t>
            </w:r>
            <w:r>
              <w:rPr>
                <w:rFonts w:hint="eastAsia"/>
                <w:color w:val="auto"/>
              </w:rPr>
              <w:t>可以（Could）</w:t>
            </w:r>
          </w:p>
        </w:tc>
        <w:tc>
          <w:p w14:paraId="553349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价值补充或锦上添花，可在资源允许时交付或后续版本实现</w:t>
            </w:r>
          </w:p>
        </w:tc>
        <w:tc>
          <w:p w14:paraId="164C18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可裁剪，需在跟踪矩阵登记</w:t>
            </w:r>
          </w:p>
        </w:tc>
      </w:tr>
      <w:bookmarkEnd w:id="88"/>
    </w:tbl>
    <w:p w14:paraId="2B395B97">
      <w:pPr>
        <w:pStyle w:val="2"/>
        <w:rPr>
          <w:color w:val="auto"/>
        </w:rPr>
      </w:pPr>
      <w:bookmarkStart w:id="89" w:name="附录-b-标准数据点standarddatapoint结构"/>
      <w:r>
        <w:rPr>
          <w:rFonts w:hint="eastAsia"/>
          <w:color w:val="auto"/>
        </w:rPr>
        <w:t>附录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标准数据点（StandardDataPoint）结构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609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51D9DB">
            <w:pPr>
              <w:pStyle w:val="24"/>
              <w:rPr>
                <w:color w:val="auto"/>
              </w:rPr>
            </w:pPr>
            <w:bookmarkStart w:id="90" w:name="_GoBack"/>
            <w:r>
              <w:rPr>
                <w:rFonts w:hint="eastAsia"/>
                <w:color w:val="auto"/>
              </w:rPr>
              <w:t>字段</w:t>
            </w:r>
          </w:p>
        </w:tc>
        <w:tc>
          <w:p w14:paraId="6D3CEE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34A3CE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  <w:tc>
          <w:p w14:paraId="0C6375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2DA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8D3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pointId</w:t>
            </w:r>
          </w:p>
        </w:tc>
        <w:tc>
          <w:p w14:paraId="0526BC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086A81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56F203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平台标准数据点唯一标识（可由来源+设备+指标+时间派生，用于幂等）</w:t>
            </w:r>
          </w:p>
        </w:tc>
      </w:tr>
      <w:tr w14:paraId="5BD4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44A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sourceCode</w:t>
            </w:r>
          </w:p>
        </w:tc>
        <w:tc>
          <w:p w14:paraId="7CFA29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69757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073432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数据源/IOT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平台编码</w:t>
            </w:r>
          </w:p>
        </w:tc>
      </w:tr>
      <w:tr w14:paraId="7AB8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BD2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campusCode</w:t>
            </w:r>
          </w:p>
        </w:tc>
        <w:tc>
          <w:p w14:paraId="0144BE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76B4C1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4DB75A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院区编码（按凭证或映射确定）</w:t>
            </w:r>
          </w:p>
        </w:tc>
      </w:tr>
      <w:tr w14:paraId="5885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361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deviceCode</w:t>
            </w:r>
          </w:p>
        </w:tc>
        <w:tc>
          <w:p w14:paraId="6BDDA3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21D5C4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5211A8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标准设备标识（由厂商设备标识映射得到）</w:t>
            </w:r>
          </w:p>
        </w:tc>
      </w:tr>
      <w:tr w14:paraId="45C6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1FE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metricCode</w:t>
            </w:r>
          </w:p>
        </w:tc>
        <w:tc>
          <w:p w14:paraId="4BCF4D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2826B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3D030C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标准指标编码（见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FR-HOSP-08）</w:t>
            </w:r>
          </w:p>
        </w:tc>
      </w:tr>
      <w:tr w14:paraId="72EBF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660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value</w:t>
            </w:r>
          </w:p>
        </w:tc>
        <w:tc>
          <w:p w14:paraId="650880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Decimal/String</w:t>
            </w:r>
          </w:p>
        </w:tc>
        <w:tc>
          <w:p w14:paraId="793781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67B0B3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指标值（已按单位换算归一）</w:t>
            </w:r>
          </w:p>
        </w:tc>
      </w:tr>
      <w:tr w14:paraId="6FA0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9E8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valueType</w:t>
            </w:r>
          </w:p>
        </w:tc>
        <w:tc>
          <w:p w14:paraId="69875A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227047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4F39D6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数据类型：NUMBER/BOOLEAN/STRING/ENUM</w:t>
            </w:r>
          </w:p>
        </w:tc>
      </w:tr>
      <w:tr w14:paraId="6566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B46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unit</w:t>
            </w:r>
          </w:p>
        </w:tc>
        <w:tc>
          <w:p w14:paraId="6D9D5B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694FD2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p w14:paraId="752D79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归一后单位</w:t>
            </w:r>
          </w:p>
        </w:tc>
      </w:tr>
      <w:tr w14:paraId="21D5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AEA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ts</w:t>
            </w:r>
          </w:p>
        </w:tc>
        <w:tc>
          <w:p w14:paraId="4FE6FB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459245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345079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数据产生时间（ISO-8601，含时区；存储归一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UTC）</w:t>
            </w:r>
          </w:p>
        </w:tc>
      </w:tr>
      <w:tr w14:paraId="0B48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10D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receiveTs</w:t>
            </w:r>
          </w:p>
        </w:tc>
        <w:tc>
          <w:p w14:paraId="512A3E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76BD1A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1EF879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平台接收时间</w:t>
            </w:r>
          </w:p>
        </w:tc>
      </w:tr>
      <w:tr w14:paraId="370D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4C3908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quality</w:t>
            </w:r>
          </w:p>
        </w:tc>
        <w:tc>
          <w:p w14:paraId="4438AB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Enum</w:t>
            </w:r>
          </w:p>
        </w:tc>
        <w:tc>
          <w:p w14:paraId="73BF32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1CE36D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GOOD / UNCERTAIN / BAD / MISSING</w:t>
            </w:r>
          </w:p>
        </w:tc>
      </w:tr>
      <w:tr w14:paraId="1E6D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56B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rawPayload</w:t>
            </w:r>
          </w:p>
        </w:tc>
        <w:tc>
          <w:p w14:paraId="7E193B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Text/JSON</w:t>
            </w:r>
          </w:p>
        </w:tc>
        <w:tc>
          <w:p w14:paraId="0B53CF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p w14:paraId="307DB8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厂商原始字段保留（用于追溯）</w:t>
            </w:r>
          </w:p>
        </w:tc>
      </w:tr>
      <w:tr w14:paraId="20CA7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E1F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workCondition</w:t>
            </w:r>
          </w:p>
        </w:tc>
        <w:tc>
          <w:p w14:paraId="2CCC90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Enum</w:t>
            </w:r>
          </w:p>
        </w:tc>
        <w:tc>
          <w:p w14:paraId="1A854E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p w14:paraId="7CBF7F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工况：WORK/STANDBY/OFF/UNKNOWN（可由规则推断）</w:t>
            </w:r>
          </w:p>
        </w:tc>
      </w:tr>
      <w:tr w14:paraId="61A9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7D5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ext</w:t>
            </w:r>
          </w:p>
        </w:tc>
        <w:tc>
          <w:p w14:paraId="70E2FE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Map</w:t>
            </w:r>
          </w:p>
        </w:tc>
        <w:tc>
          <w:p w14:paraId="7F52D8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p w14:paraId="3187DB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扩展字段</w:t>
            </w:r>
          </w:p>
        </w:tc>
      </w:tr>
      <w:bookmarkEnd w:id="90"/>
    </w:tbl>
    <w:p w14:paraId="28F1567D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幂等键建议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sourceCode + deviceCode + metricCode + ts</w:t>
      </w:r>
      <w:r>
        <w:rPr>
          <w:rFonts w:hint="eastAsia"/>
          <w:color w:val="auto"/>
        </w:rPr>
        <w:t>（同周期聚合点按粒度对齐时间戳）。</w:t>
      </w:r>
    </w:p>
    <w:bookmarkEnd w:id="8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7A4550E"/>
    <w:rsid w:val="39F20325"/>
    <w:rsid w:val="3CC549B2"/>
    <w:rsid w:val="54BF0D1B"/>
    <w:rsid w:val="6FE57E2E"/>
    <w:rsid w:val="751775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3858</Words>
  <Characters>4956</Characters>
  <Lines>12</Lines>
  <Paragraphs>8</Paragraphs>
  <TotalTime>7</TotalTime>
  <ScaleCrop>false</ScaleCrop>
  <LinksUpToDate>false</LinksUpToDate>
  <CharactersWithSpaces>5267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2026-09-28T02:37:47Z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2052-12.1.0.28488</vt:lpwstr>
  </property>
  <property fmtid="{D5CDD505-2E9C-101B-9397-08002B2CF9AE}" pid="4" name="ICV">
    <vt:lpwstr>0DDC0540AA9E403CBD20C3788A179B9D_12</vt:lpwstr>
  </property>
</Properties>
</file>