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A169D">
      <w:pPr>
        <w:pStyle w:val="2"/>
        <w:jc w:val="center"/>
        <w:rPr>
          <w:color w:val="auto"/>
        </w:rPr>
      </w:pPr>
      <w:bookmarkStart w:id="0" w:name="智慧能源管理平台-需求跟踪矩阵rtm"/>
      <w:r>
        <w:rPr>
          <w:rFonts w:hint="eastAsia"/>
          <w:color w:val="auto"/>
        </w:rPr>
        <w:t>智慧能源管理平台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需求跟踪矩阵（RTM）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0217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EBBA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文档属性</w:t>
            </w:r>
          </w:p>
        </w:tc>
        <w:tc>
          <w:p w14:paraId="1E5DE4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20107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A252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文档名称</w:t>
            </w:r>
          </w:p>
        </w:tc>
        <w:tc>
          <w:p w14:paraId="67080D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智慧能源管理平台需求跟踪矩阵</w:t>
            </w:r>
          </w:p>
        </w:tc>
      </w:tr>
      <w:tr w14:paraId="6A555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A25F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文档编号</w:t>
            </w:r>
          </w:p>
        </w:tc>
        <w:tc>
          <w:p w14:paraId="431C80C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RTM-01-03-V1.0</w:t>
            </w:r>
          </w:p>
        </w:tc>
      </w:tr>
      <w:tr w14:paraId="4481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29B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产品名称</w:t>
            </w:r>
          </w:p>
        </w:tc>
        <w:tc>
          <w:p w14:paraId="084518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</w:t>
            </w:r>
          </w:p>
        </w:tc>
      </w:tr>
      <w:tr w14:paraId="133E7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8F9D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产品版本</w:t>
            </w:r>
          </w:p>
        </w:tc>
        <w:tc>
          <w:p w14:paraId="5298192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</w:t>
            </w:r>
            <w:r>
              <w:rPr>
                <w:rFonts w:hint="eastAsia"/>
                <w:color w:val="auto"/>
                <w:lang w:val="en-US" w:eastAsia="zh-CN"/>
              </w:rPr>
              <w:t>1</w:t>
            </w:r>
            <w:r>
              <w:rPr>
                <w:color w:val="auto"/>
              </w:rPr>
              <w:t>.</w:t>
            </w:r>
            <w:r>
              <w:rPr>
                <w:rFonts w:hint="eastAsia"/>
                <w:color w:val="auto"/>
                <w:lang w:val="en-US" w:eastAsia="zh-CN"/>
              </w:rPr>
              <w:t>0</w:t>
            </w:r>
            <w:r>
              <w:rPr>
                <w:color w:val="auto"/>
              </w:rPr>
              <w:t>.0</w:t>
            </w:r>
          </w:p>
        </w:tc>
      </w:tr>
      <w:tr w14:paraId="561B7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E0BD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文档版本</w:t>
            </w:r>
          </w:p>
        </w:tc>
        <w:tc>
          <w:p w14:paraId="6E6DB28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</w:tr>
      <w:tr w14:paraId="547FB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4F6D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密级</w:t>
            </w:r>
          </w:p>
        </w:tc>
        <w:tc>
          <w:p w14:paraId="28D480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内部</w:t>
            </w:r>
          </w:p>
        </w:tc>
      </w:tr>
      <w:tr w14:paraId="2C117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DF23A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编制日期</w:t>
            </w:r>
          </w:p>
        </w:tc>
        <w:tc>
          <w:p w14:paraId="7C7C2F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-09-14</w:t>
            </w:r>
          </w:p>
        </w:tc>
      </w:tr>
      <w:tr w14:paraId="78AFD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A33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编制人</w:t>
            </w:r>
          </w:p>
        </w:tc>
        <w:tc>
          <w:p w14:paraId="31B125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需求分析组</w:t>
            </w:r>
          </w:p>
        </w:tc>
      </w:tr>
      <w:tr w14:paraId="40D29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F825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审核人</w:t>
            </w:r>
          </w:p>
        </w:tc>
        <w:tc>
          <w:p w14:paraId="198B21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产品负责人、测试负责人</w:t>
            </w:r>
          </w:p>
        </w:tc>
      </w:tr>
      <w:tr w14:paraId="4E3FC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65C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配套文档</w:t>
            </w:r>
          </w:p>
        </w:tc>
        <w:tc>
          <w:p w14:paraId="433451A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01-01 </w:t>
            </w:r>
            <w:r>
              <w:rPr>
                <w:rFonts w:hint="eastAsia"/>
                <w:color w:val="auto"/>
              </w:rPr>
              <w:t>需求调研报告.md、01-02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软件需求规格说明书SRS.md</w:t>
            </w:r>
          </w:p>
        </w:tc>
      </w:tr>
    </w:tbl>
    <w:p w14:paraId="3E51EB59">
      <w:pPr>
        <w:pStyle w:val="4"/>
        <w:rPr>
          <w:color w:val="auto"/>
        </w:rPr>
      </w:pPr>
      <w:bookmarkStart w:id="1" w:name="修订记录"/>
      <w:r>
        <w:rPr>
          <w:rFonts w:hint="eastAsia"/>
          <w:color w:val="auto"/>
        </w:rPr>
        <w:t>修订记录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B18C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5C03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版本</w:t>
            </w:r>
          </w:p>
        </w:tc>
        <w:tc>
          <w:p w14:paraId="440B6A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日期</w:t>
            </w:r>
          </w:p>
        </w:tc>
        <w:tc>
          <w:p w14:paraId="73B62F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修订人</w:t>
            </w:r>
          </w:p>
        </w:tc>
        <w:tc>
          <w:p w14:paraId="59B4D6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修订说明</w:t>
            </w:r>
          </w:p>
        </w:tc>
      </w:tr>
      <w:tr w14:paraId="29993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057CB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  <w:tc>
          <w:p w14:paraId="78A919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2025</w:t>
            </w:r>
            <w:r>
              <w:rPr>
                <w:color w:val="auto"/>
              </w:rPr>
              <w:t>-09-14</w:t>
            </w:r>
          </w:p>
        </w:tc>
        <w:tc>
          <w:p w14:paraId="02C369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需求分析组</w:t>
            </w:r>
          </w:p>
        </w:tc>
        <w:tc>
          <w:p w14:paraId="6F6587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首次建立：主跟踪表</w:t>
            </w:r>
            <w:r>
              <w:rPr>
                <w:color w:val="auto"/>
              </w:rPr>
              <w:t xml:space="preserve"> 68 </w:t>
            </w:r>
            <w:r>
              <w:rPr>
                <w:rFonts w:hint="eastAsia"/>
                <w:color w:val="auto"/>
              </w:rPr>
              <w:t>条（含医院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FR-HOSP-01~20），建立需求基线</w:t>
            </w:r>
            <w:r>
              <w:rPr>
                <w:color w:val="auto"/>
              </w:rPr>
              <w:t xml:space="preserve"> V1.0</w:t>
            </w:r>
          </w:p>
        </w:tc>
      </w:tr>
    </w:tbl>
    <w:p w14:paraId="4B711F8E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0CDFF5B">
      <w:pPr>
        <w:pStyle w:val="4"/>
        <w:rPr>
          <w:color w:val="auto"/>
        </w:rPr>
      </w:pPr>
      <w:bookmarkStart w:id="2" w:name="目录"/>
      <w:r>
        <w:rPr>
          <w:rFonts w:hint="eastAsia"/>
          <w:color w:val="auto"/>
        </w:rPr>
        <w:t>目录</w:t>
      </w:r>
    </w:p>
    <w:p w14:paraId="2BC9D6A9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编制说明</w:t>
      </w:r>
    </w:p>
    <w:p w14:paraId="76DA8134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图例与取值规范</w:t>
      </w:r>
    </w:p>
    <w:p w14:paraId="46CA365D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需求覆盖关系说明</w:t>
      </w:r>
    </w:p>
    <w:p w14:paraId="2C62AD72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主跟踪表</w:t>
      </w:r>
    </w:p>
    <w:p w14:paraId="3BA34D10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需求变更记录表</w:t>
      </w:r>
    </w:p>
    <w:p w14:paraId="63FF4C8B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维护责任与基线说明</w:t>
      </w:r>
    </w:p>
    <w:p w14:paraId="1DC6BE39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AFE8BE2">
      <w:pPr>
        <w:pStyle w:val="4"/>
        <w:rPr>
          <w:color w:val="auto"/>
        </w:rPr>
      </w:pPr>
      <w:bookmarkStart w:id="3" w:name="编制说明"/>
      <w:r>
        <w:rPr>
          <w:color w:val="auto"/>
        </w:rPr>
        <w:t xml:space="preserve">1. </w:t>
      </w:r>
      <w:r>
        <w:rPr>
          <w:rFonts w:hint="eastAsia"/>
          <w:color w:val="auto"/>
        </w:rPr>
        <w:t>编制说明</w:t>
      </w:r>
    </w:p>
    <w:p w14:paraId="521715F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本矩阵是</w:t>
      </w:r>
      <w:r>
        <w:rPr>
          <w:color w:val="auto"/>
        </w:rPr>
        <w:t xml:space="preserve"> V</w:t>
      </w:r>
      <w:r>
        <w:rPr>
          <w:rFonts w:hint="eastAsia"/>
          <w:color w:val="auto"/>
          <w:lang w:val="en-US" w:eastAsia="zh-CN"/>
        </w:rPr>
        <w:t>1</w:t>
      </w:r>
      <w:r>
        <w:rPr>
          <w:color w:val="auto"/>
        </w:rPr>
        <w:t>.</w:t>
      </w:r>
      <w:r>
        <w:rPr>
          <w:rFonts w:hint="eastAsia"/>
          <w:color w:val="auto"/>
          <w:lang w:val="en-US" w:eastAsia="zh-CN"/>
        </w:rPr>
        <w:t>0</w:t>
      </w:r>
      <w:r>
        <w:rPr>
          <w:color w:val="auto"/>
        </w:rPr>
        <w:t xml:space="preserve">.0 </w:t>
      </w:r>
      <w:r>
        <w:rPr>
          <w:rFonts w:hint="eastAsia"/>
          <w:color w:val="auto"/>
        </w:rPr>
        <w:t>需求全生命周期追溯的唯一受控清单，覆盖《软件需求规格说明书（SRS）V1.0》中各业务域关键功能需求（FR）、医院模块</w:t>
      </w:r>
      <w:r>
        <w:rPr>
          <w:color w:val="auto"/>
        </w:rPr>
        <w:t xml:space="preserve"> FR-HOSP-01~20 </w:t>
      </w:r>
      <w:r>
        <w:rPr>
          <w:rFonts w:hint="eastAsia"/>
          <w:color w:val="auto"/>
        </w:rPr>
        <w:t>及关键非功能/合规需求（NFR/CMP）。</w:t>
      </w:r>
    </w:p>
    <w:p w14:paraId="11F8292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追溯链路为：</w:t>
      </w:r>
      <w:r>
        <w:rPr>
          <w:rFonts w:hint="eastAsia"/>
          <w:b/>
          <w:bCs/>
          <w:color w:val="auto"/>
        </w:rPr>
        <w:t>需求来源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需求编号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设计文档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开发任务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测试用例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验收标准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当前状态</w:t>
      </w:r>
      <w:r>
        <w:rPr>
          <w:rFonts w:hint="eastAsia"/>
          <w:color w:val="auto"/>
        </w:rPr>
        <w:t>，任一环节缺失即视为覆盖不完整。</w:t>
      </w:r>
    </w:p>
    <w:p w14:paraId="754AD41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本矩阵与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SRS、测试用例库、开发任务看板保持同步；基线后变更必须登记于第</w:t>
      </w:r>
      <w:r>
        <w:rPr>
          <w:color w:val="auto"/>
        </w:rPr>
        <w:t xml:space="preserve"> 5 </w:t>
      </w:r>
      <w:r>
        <w:rPr>
          <w:rFonts w:hint="eastAsia"/>
          <w:color w:val="auto"/>
        </w:rPr>
        <w:t>章。</w:t>
      </w:r>
    </w:p>
    <w:p w14:paraId="55BDE94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主表共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 xml:space="preserve">68 </w:t>
      </w:r>
      <w:r>
        <w:rPr>
          <w:rFonts w:hint="eastAsia"/>
          <w:b/>
          <w:bCs/>
          <w:color w:val="auto"/>
        </w:rPr>
        <w:t>行</w:t>
      </w:r>
      <w:r>
        <w:rPr>
          <w:rFonts w:hint="eastAsia"/>
          <w:color w:val="auto"/>
        </w:rPr>
        <w:t>：医院新增需求</w:t>
      </w:r>
      <w:r>
        <w:rPr>
          <w:color w:val="auto"/>
        </w:rPr>
        <w:t xml:space="preserve"> 20 </w:t>
      </w:r>
      <w:r>
        <w:rPr>
          <w:rFonts w:hint="eastAsia"/>
          <w:color w:val="auto"/>
        </w:rPr>
        <w:t>行（FR-HOSP-01~20），既有业务域基线需求</w:t>
      </w:r>
      <w:r>
        <w:rPr>
          <w:color w:val="auto"/>
        </w:rPr>
        <w:t xml:space="preserve"> 41 </w:t>
      </w:r>
      <w:r>
        <w:rPr>
          <w:rFonts w:hint="eastAsia"/>
          <w:color w:val="auto"/>
        </w:rPr>
        <w:t>行，非功能与合规需求</w:t>
      </w:r>
      <w:r>
        <w:rPr>
          <w:color w:val="auto"/>
        </w:rPr>
        <w:t xml:space="preserve"> 7 </w:t>
      </w:r>
      <w:r>
        <w:rPr>
          <w:rFonts w:hint="eastAsia"/>
          <w:color w:val="auto"/>
        </w:rPr>
        <w:t>行。</w:t>
      </w:r>
    </w:p>
    <w:bookmarkEnd w:id="3"/>
    <w:p w14:paraId="5D7D3F75">
      <w:pPr>
        <w:pStyle w:val="4"/>
        <w:rPr>
          <w:color w:val="auto"/>
        </w:rPr>
      </w:pPr>
      <w:bookmarkStart w:id="4" w:name="图例与取值规范"/>
      <w:r>
        <w:rPr>
          <w:color w:val="auto"/>
        </w:rPr>
        <w:t xml:space="preserve">2. </w:t>
      </w:r>
      <w:r>
        <w:rPr>
          <w:rFonts w:hint="eastAsia"/>
          <w:color w:val="auto"/>
        </w:rPr>
        <w:t>图例与取值规范</w:t>
      </w:r>
    </w:p>
    <w:p w14:paraId="1BF8794F">
      <w:pPr>
        <w:pStyle w:val="5"/>
        <w:rPr>
          <w:color w:val="auto"/>
        </w:rPr>
      </w:pPr>
      <w:bookmarkStart w:id="5" w:name="优先级"/>
      <w:r>
        <w:rPr>
          <w:color w:val="auto"/>
        </w:rPr>
        <w:t xml:space="preserve">2.1 </w:t>
      </w:r>
      <w:r>
        <w:rPr>
          <w:rFonts w:hint="eastAsia"/>
          <w:color w:val="auto"/>
        </w:rPr>
        <w:t>优先级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516"/>
      </w:tblGrid>
      <w:tr w14:paraId="1D31F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7486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取值</w:t>
            </w:r>
          </w:p>
        </w:tc>
        <w:tc>
          <w:p w14:paraId="44DAFB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</w:tr>
      <w:tr w14:paraId="5753E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2BD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6D6E51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必须（Must），不实现则不可验收</w:t>
            </w:r>
          </w:p>
        </w:tc>
      </w:tr>
      <w:tr w14:paraId="314F0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3B1E0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6D62F6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应该（Should），本版本应交付，顺延须书面批准</w:t>
            </w:r>
          </w:p>
        </w:tc>
      </w:tr>
      <w:tr w14:paraId="7181D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CAF99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68255DD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可以（Could），资源允许时交付</w:t>
            </w:r>
          </w:p>
        </w:tc>
      </w:tr>
      <w:bookmarkEnd w:id="5"/>
    </w:tbl>
    <w:p w14:paraId="423AB788">
      <w:pPr>
        <w:pStyle w:val="5"/>
        <w:rPr>
          <w:color w:val="auto"/>
        </w:rPr>
      </w:pPr>
      <w:bookmarkStart w:id="6" w:name="需求状态"/>
      <w:r>
        <w:rPr>
          <w:color w:val="auto"/>
        </w:rPr>
        <w:t xml:space="preserve">2.2 </w:t>
      </w:r>
      <w:r>
        <w:rPr>
          <w:rFonts w:hint="eastAsia"/>
          <w:color w:val="auto"/>
        </w:rPr>
        <w:t>需求状态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E29B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88E1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</w:t>
            </w:r>
          </w:p>
        </w:tc>
        <w:tc>
          <w:p w14:paraId="3B78E1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</w:tr>
      <w:tr w14:paraId="4303D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C839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  <w:tc>
          <w:p w14:paraId="147B5C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已纳入需求基线；既有能力已上线，本版本保持行为不变（以回归测试覆盖）</w:t>
            </w:r>
          </w:p>
        </w:tc>
      </w:tr>
      <w:tr w14:paraId="323A9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0FA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开发中</w:t>
            </w:r>
          </w:p>
        </w:tc>
        <w:tc>
          <w:p w14:paraId="665764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新增需求，正在开发</w:t>
            </w:r>
          </w:p>
        </w:tc>
      </w:tr>
      <w:tr w14:paraId="5190A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39F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待联调</w:t>
            </w:r>
          </w:p>
        </w:tc>
        <w:tc>
          <w:p w14:paraId="1B7CA6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开发完成，等待与外部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平台/中间件联调</w:t>
            </w:r>
          </w:p>
        </w:tc>
      </w:tr>
      <w:tr w14:paraId="45B94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6E5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待开发</w:t>
            </w:r>
          </w:p>
        </w:tc>
        <w:tc>
          <w:p w14:paraId="7F05C4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已基线，尚未开始开发</w:t>
            </w:r>
          </w:p>
        </w:tc>
      </w:tr>
      <w:tr w14:paraId="45436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D3B5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待测试</w:t>
            </w:r>
          </w:p>
        </w:tc>
        <w:tc>
          <w:p w14:paraId="65797E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开发与联调完成，等待/正在测试</w:t>
            </w:r>
          </w:p>
        </w:tc>
      </w:tr>
      <w:tr w14:paraId="2BB59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297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已验收</w:t>
            </w:r>
          </w:p>
        </w:tc>
        <w:tc>
          <w:p w14:paraId="4EFA5A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测试通过且验收标准达成</w:t>
            </w:r>
          </w:p>
        </w:tc>
      </w:tr>
      <w:tr w14:paraId="5CBCB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8A49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已变更</w:t>
            </w:r>
          </w:p>
        </w:tc>
        <w:tc>
          <w:p w14:paraId="4BB379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基线后发生变更，见第</w:t>
            </w:r>
            <w:r>
              <w:rPr>
                <w:color w:val="auto"/>
              </w:rPr>
              <w:t xml:space="preserve"> 5 </w:t>
            </w:r>
            <w:r>
              <w:rPr>
                <w:rFonts w:hint="eastAsia"/>
                <w:color w:val="auto"/>
              </w:rPr>
              <w:t>章</w:t>
            </w:r>
          </w:p>
        </w:tc>
      </w:tr>
      <w:tr w14:paraId="7338B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236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已搁置</w:t>
            </w:r>
          </w:p>
        </w:tc>
        <w:tc>
          <w:p w14:paraId="665D08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经审批暂缓，不进入本版本</w:t>
            </w:r>
          </w:p>
        </w:tc>
      </w:tr>
      <w:bookmarkEnd w:id="6"/>
    </w:tbl>
    <w:p w14:paraId="53BE0226">
      <w:pPr>
        <w:pStyle w:val="5"/>
        <w:rPr>
          <w:color w:val="auto"/>
        </w:rPr>
      </w:pPr>
      <w:bookmarkStart w:id="7" w:name="需求来源编号"/>
      <w:r>
        <w:rPr>
          <w:color w:val="auto"/>
        </w:rPr>
        <w:t xml:space="preserve">2.3 </w:t>
      </w:r>
      <w:r>
        <w:rPr>
          <w:rFonts w:hint="eastAsia"/>
          <w:color w:val="auto"/>
        </w:rPr>
        <w:t>需求来源编号</w:t>
      </w:r>
    </w:p>
    <w:p w14:paraId="4B82CDD2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SRC-xx：调研报告附录登记的原始需求来源（见</w:t>
      </w:r>
      <w:r>
        <w:rPr>
          <w:color w:val="auto"/>
        </w:rPr>
        <w:t xml:space="preserve"> 01-01 </w:t>
      </w:r>
      <w:r>
        <w:rPr>
          <w:rFonts w:hint="eastAsia"/>
          <w:color w:val="auto"/>
        </w:rPr>
        <w:t>第</w:t>
      </w:r>
      <w:r>
        <w:rPr>
          <w:color w:val="auto"/>
        </w:rPr>
        <w:t xml:space="preserve"> 6.2 </w:t>
      </w:r>
      <w:r>
        <w:rPr>
          <w:rFonts w:hint="eastAsia"/>
          <w:color w:val="auto"/>
        </w:rPr>
        <w:t>节）；</w:t>
      </w:r>
    </w:p>
    <w:p w14:paraId="38B4E9D5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P-xx：调研报告痛点编号；</w:t>
      </w:r>
    </w:p>
    <w:p w14:paraId="675749AC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基线：</w:t>
      </w:r>
      <w:r>
        <w:rPr>
          <w:rFonts w:hint="eastAsia"/>
          <w:color w:val="auto"/>
          <w:lang w:eastAsia="zh-CN"/>
        </w:rPr>
        <w:t xml:space="preserve">V1.0.0 </w:t>
      </w:r>
      <w:r>
        <w:rPr>
          <w:rFonts w:hint="eastAsia"/>
          <w:color w:val="auto"/>
        </w:rPr>
        <w:t>既有能力（源自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docs/系统功能清单.md、docs/EMS产品设计文档.md）；</w:t>
      </w:r>
    </w:p>
    <w:p w14:paraId="44FE51CC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政策：双碳/节能监察/等保/GDPR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等合规要求。</w:t>
      </w:r>
    </w:p>
    <w:bookmarkEnd w:id="7"/>
    <w:p w14:paraId="2D05ACF6">
      <w:pPr>
        <w:pStyle w:val="5"/>
        <w:rPr>
          <w:color w:val="auto"/>
        </w:rPr>
      </w:pPr>
      <w:bookmarkStart w:id="8" w:name="编号规则"/>
      <w:r>
        <w:rPr>
          <w:color w:val="auto"/>
        </w:rPr>
        <w:t xml:space="preserve">2.4 </w:t>
      </w:r>
      <w:r>
        <w:rPr>
          <w:rFonts w:hint="eastAsia"/>
          <w:color w:val="auto"/>
        </w:rPr>
        <w:t>编号规则</w:t>
      </w:r>
    </w:p>
    <w:p w14:paraId="6C38BCDC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需求：FR-域-序号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NFR-类别-序号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CMP-序号（与</w:t>
      </w:r>
      <w:r>
        <w:rPr>
          <w:color w:val="auto"/>
        </w:rPr>
        <w:t xml:space="preserve"> SRS </w:t>
      </w:r>
      <w:r>
        <w:rPr>
          <w:rFonts w:hint="eastAsia"/>
          <w:color w:val="auto"/>
        </w:rPr>
        <w:t>一致）；</w:t>
      </w:r>
    </w:p>
    <w:p w14:paraId="0ACA1E69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开发任务：TASK-域-序号；测试用例：TC-域-序号（在用例库中可展开多条用例）。</w:t>
      </w:r>
    </w:p>
    <w:bookmarkEnd w:id="4"/>
    <w:bookmarkEnd w:id="8"/>
    <w:p w14:paraId="70F96AD9">
      <w:pPr>
        <w:pStyle w:val="4"/>
        <w:rPr>
          <w:color w:val="auto"/>
        </w:rPr>
      </w:pPr>
      <w:bookmarkStart w:id="9" w:name="需求覆盖关系说明"/>
      <w:r>
        <w:rPr>
          <w:color w:val="auto"/>
        </w:rPr>
        <w:t xml:space="preserve">3. </w:t>
      </w:r>
      <w:r>
        <w:rPr>
          <w:rFonts w:hint="eastAsia"/>
          <w:color w:val="auto"/>
        </w:rPr>
        <w:t>需求覆盖关系说明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C28A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B6A4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覆盖检查项</w:t>
            </w:r>
          </w:p>
        </w:tc>
        <w:tc>
          <w:p w14:paraId="153146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要求</w:t>
            </w:r>
          </w:p>
        </w:tc>
        <w:tc>
          <w:p w14:paraId="3A2C3D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当前结论</w:t>
            </w:r>
          </w:p>
        </w:tc>
      </w:tr>
      <w:tr w14:paraId="3F767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FB56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来源→需求</w:t>
            </w:r>
          </w:p>
        </w:tc>
        <w:tc>
          <w:p w14:paraId="113105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每条需求可回溯到至少一个来源；每条</w:t>
            </w:r>
            <w:r>
              <w:rPr>
                <w:color w:val="auto"/>
              </w:rPr>
              <w:t xml:space="preserve"> P0 </w:t>
            </w:r>
            <w:r>
              <w:rPr>
                <w:rFonts w:hint="eastAsia"/>
                <w:color w:val="auto"/>
              </w:rPr>
              <w:t>痛点至少被一条需求覆盖</w:t>
            </w:r>
          </w:p>
        </w:tc>
        <w:tc>
          <w:p w14:paraId="1F673B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已覆盖（P-01~P-12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均有对应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FR）</w:t>
            </w:r>
          </w:p>
        </w:tc>
      </w:tr>
      <w:tr w14:paraId="5BE88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65A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需求→设计</w:t>
            </w:r>
          </w:p>
        </w:tc>
        <w:tc>
          <w:p w14:paraId="4F06CF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每条需求有对应设计文档或明确的待编制设计</w:t>
            </w:r>
          </w:p>
        </w:tc>
        <w:tc>
          <w:p w14:paraId="30A9B7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新增医院设计待编制，M1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启动前补齐</w:t>
            </w:r>
          </w:p>
        </w:tc>
      </w:tr>
      <w:tr w14:paraId="3CD64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52CD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需求→任务</w:t>
            </w:r>
          </w:p>
        </w:tc>
        <w:tc>
          <w:p w14:paraId="3212A7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</w:t>
            </w:r>
            <w:r>
              <w:rPr>
                <w:color w:val="auto"/>
              </w:rPr>
              <w:t xml:space="preserve"> 20 </w:t>
            </w:r>
            <w:r>
              <w:rPr>
                <w:rFonts w:hint="eastAsia"/>
                <w:color w:val="auto"/>
              </w:rPr>
              <w:t>条均已拆分开发任务（TASK-H-001~020）</w:t>
            </w:r>
          </w:p>
        </w:tc>
        <w:tc>
          <w:p w14:paraId="2DCB33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已拆分</w:t>
            </w:r>
          </w:p>
        </w:tc>
      </w:tr>
      <w:tr w14:paraId="767B9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C56C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需求→用例</w:t>
            </w:r>
          </w:p>
        </w:tc>
        <w:tc>
          <w:p w14:paraId="332EBC5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每条需求至少</w:t>
            </w:r>
            <w:r>
              <w:rPr>
                <w:color w:val="auto"/>
              </w:rPr>
              <w:t xml:space="preserve"> 1 </w:t>
            </w:r>
            <w:r>
              <w:rPr>
                <w:rFonts w:hint="eastAsia"/>
                <w:color w:val="auto"/>
              </w:rPr>
              <w:t>个测试用例编号；P0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需求要求正/异常双向用例</w:t>
            </w:r>
          </w:p>
        </w:tc>
        <w:tc>
          <w:p w14:paraId="5A802F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已编号，用例随迭代细化</w:t>
            </w:r>
          </w:p>
        </w:tc>
      </w:tr>
      <w:tr w14:paraId="01BB6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9A7B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需求→验收</w:t>
            </w:r>
          </w:p>
        </w:tc>
        <w:tc>
          <w:p w14:paraId="1EF4AC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每条需求有可判定的验收标准</w:t>
            </w:r>
          </w:p>
        </w:tc>
        <w:tc>
          <w:p w14:paraId="2FAE1A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已填写</w:t>
            </w:r>
          </w:p>
        </w:tc>
      </w:tr>
      <w:tr w14:paraId="7AD53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835E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里程碑映射</w:t>
            </w:r>
          </w:p>
        </w:tc>
        <w:tc>
          <w:p w14:paraId="0E474EA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FR-HOSP-01~20 </w:t>
            </w:r>
            <w:r>
              <w:rPr>
                <w:rFonts w:hint="eastAsia"/>
                <w:color w:val="auto"/>
              </w:rPr>
              <w:t>映射</w:t>
            </w:r>
            <w:r>
              <w:rPr>
                <w:color w:val="auto"/>
              </w:rPr>
              <w:t xml:space="preserve"> M1~M4</w:t>
            </w:r>
          </w:p>
        </w:tc>
        <w:tc>
          <w:p w14:paraId="6E6087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见各行”所属模块/验收标准”备注及</w:t>
            </w:r>
            <w:r>
              <w:rPr>
                <w:color w:val="auto"/>
              </w:rPr>
              <w:t xml:space="preserve"> SRS 2.6</w:t>
            </w:r>
          </w:p>
        </w:tc>
      </w:tr>
    </w:tbl>
    <w:p w14:paraId="4161AF0E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67625A8A">
      <w:pPr>
        <w:pStyle w:val="4"/>
        <w:rPr>
          <w:color w:val="auto"/>
        </w:rPr>
      </w:pPr>
      <w:bookmarkStart w:id="10" w:name="主跟踪表"/>
      <w:r>
        <w:rPr>
          <w:color w:val="auto"/>
        </w:rPr>
        <w:t xml:space="preserve">4. </w:t>
      </w:r>
      <w:r>
        <w:rPr>
          <w:rFonts w:hint="eastAsia"/>
          <w:color w:val="auto"/>
        </w:rPr>
        <w:t>主跟踪表</w:t>
      </w:r>
    </w:p>
    <w:p w14:paraId="4A685A75">
      <w:pPr>
        <w:pStyle w:val="5"/>
        <w:rPr>
          <w:color w:val="auto"/>
        </w:rPr>
      </w:pPr>
      <w:bookmarkStart w:id="11" w:name="医院智慧能源决策系统新增fr-hosp-0120"/>
      <w:r>
        <w:rPr>
          <w:color w:val="auto"/>
        </w:rPr>
        <w:t xml:space="preserve">4.1 </w:t>
      </w:r>
      <w:r>
        <w:rPr>
          <w:rFonts w:hint="eastAsia"/>
          <w:color w:val="auto"/>
        </w:rPr>
        <w:t>医院智慧能源决策系统（新增，FR-HOSP-01~20）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</w:tblGrid>
      <w:tr w14:paraId="41A76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9B38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需求编号</w:t>
            </w:r>
          </w:p>
        </w:tc>
        <w:tc>
          <w:p w14:paraId="07B5AF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需求名称</w:t>
            </w:r>
          </w:p>
        </w:tc>
        <w:tc>
          <w:p w14:paraId="2D5033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所属模块</w:t>
            </w:r>
          </w:p>
        </w:tc>
        <w:tc>
          <w:p w14:paraId="79D69B8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优先级</w:t>
            </w:r>
          </w:p>
        </w:tc>
        <w:tc>
          <w:p w14:paraId="251304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来源</w:t>
            </w:r>
          </w:p>
        </w:tc>
        <w:tc>
          <w:p w14:paraId="0AA9A5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对应设计文档</w:t>
            </w:r>
          </w:p>
        </w:tc>
        <w:tc>
          <w:p w14:paraId="4BA7AC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开发任务</w:t>
            </w:r>
          </w:p>
        </w:tc>
        <w:tc>
          <w:p w14:paraId="485324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测试用例编号</w:t>
            </w:r>
          </w:p>
        </w:tc>
        <w:tc>
          <w:p w14:paraId="71AA330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验收标准</w:t>
            </w:r>
          </w:p>
        </w:tc>
        <w:tc>
          <w:p w14:paraId="56E037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</w:t>
            </w:r>
          </w:p>
        </w:tc>
      </w:tr>
      <w:tr w14:paraId="44873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88132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FR-HOSP-01</w:t>
            </w:r>
          </w:p>
        </w:tc>
        <w:tc>
          <w:p w14:paraId="06B730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HTTP </w:t>
            </w:r>
            <w:r>
              <w:rPr>
                <w:rFonts w:hint="eastAsia"/>
                <w:color w:val="auto"/>
              </w:rPr>
              <w:t>回调接收</w:t>
            </w:r>
          </w:p>
        </w:tc>
        <w:tc>
          <w:p w14:paraId="1F1EC4A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医院/回调接入层</w:t>
            </w:r>
          </w:p>
        </w:tc>
        <w:tc>
          <w:p w14:paraId="295F85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265747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SRC-01、SRC-02</w:t>
            </w:r>
          </w:p>
        </w:tc>
        <w:tc>
          <w:p w14:paraId="1D09A2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待编制《医院模块概要设计-接入层》</w:t>
            </w:r>
          </w:p>
        </w:tc>
        <w:tc>
          <w:p w14:paraId="15621F2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TASK-H-001</w:t>
            </w:r>
          </w:p>
        </w:tc>
        <w:tc>
          <w:p w14:paraId="7F5D833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TC-H-001</w:t>
            </w:r>
          </w:p>
        </w:tc>
        <w:tc>
          <w:p w14:paraId="693E2E4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≥1000TPS </w:t>
            </w:r>
            <w:r>
              <w:rPr>
                <w:rFonts w:hint="eastAsia"/>
                <w:color w:val="auto"/>
              </w:rPr>
              <w:t>压测接收数=入库数；批量报文快速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ACK；服务可水平扩展</w:t>
            </w:r>
          </w:p>
        </w:tc>
        <w:tc>
          <w:p w14:paraId="73DDEA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待联调</w:t>
            </w:r>
          </w:p>
        </w:tc>
      </w:tr>
      <w:tr w14:paraId="015F4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4B36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FR-HOSP-02</w:t>
            </w:r>
          </w:p>
        </w:tc>
        <w:tc>
          <w:p w14:paraId="29B973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回调鉴权（Token/IP白名单/签名）</w:t>
            </w:r>
          </w:p>
        </w:tc>
        <w:tc>
          <w:p w14:paraId="2A2F93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医院/回调接入层</w:t>
            </w:r>
          </w:p>
        </w:tc>
        <w:tc>
          <w:p w14:paraId="3FCC30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71514FE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SRC-01、P-03、CMP-01</w:t>
            </w:r>
          </w:p>
        </w:tc>
        <w:tc>
          <w:p w14:paraId="448146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待编制《医院模块概要设计-安全》</w:t>
            </w:r>
          </w:p>
        </w:tc>
        <w:tc>
          <w:p w14:paraId="72A030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TASK-H-002</w:t>
            </w:r>
          </w:p>
        </w:tc>
        <w:tc>
          <w:p w14:paraId="789BE8C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TC-H-002</w:t>
            </w:r>
          </w:p>
        </w:tc>
        <w:tc>
          <w:p w14:paraId="289DCD3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三重校验按院区可配；非法请求</w:t>
            </w:r>
            <w:r>
              <w:rPr>
                <w:color w:val="auto"/>
              </w:rPr>
              <w:t xml:space="preserve"> 100% </w:t>
            </w:r>
            <w:r>
              <w:rPr>
                <w:rFonts w:hint="eastAsia"/>
                <w:color w:val="auto"/>
              </w:rPr>
              <w:t>拒绝并留安全日志；防重放生效</w:t>
            </w:r>
          </w:p>
        </w:tc>
        <w:tc>
          <w:p w14:paraId="7E1FDC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开发中</w:t>
            </w:r>
          </w:p>
        </w:tc>
      </w:tr>
      <w:tr w14:paraId="2E66F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753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FR-HOSP-03</w:t>
            </w:r>
          </w:p>
        </w:tc>
        <w:tc>
          <w:p w14:paraId="5C6AFE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报文解析标准化（StandardDataPoint）</w:t>
            </w:r>
          </w:p>
        </w:tc>
        <w:tc>
          <w:p w14:paraId="6B92B7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医院/数据处理</w:t>
            </w:r>
          </w:p>
        </w:tc>
        <w:tc>
          <w:p w14:paraId="019A908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6193571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SRC-14、P-11</w:t>
            </w:r>
          </w:p>
        </w:tc>
        <w:tc>
          <w:p w14:paraId="0A7DB7F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待编制《医院模块概要设计-数据模型》</w:t>
            </w:r>
          </w:p>
        </w:tc>
        <w:tc>
          <w:p w14:paraId="0CB6462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TASK-H-003</w:t>
            </w:r>
          </w:p>
        </w:tc>
        <w:tc>
          <w:p w14:paraId="5278B0D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TC-H-003</w:t>
            </w:r>
          </w:p>
        </w:tc>
        <w:tc>
          <w:p w14:paraId="6CE287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厂商报文可映射为标准五要素；非</w:t>
            </w:r>
            <w:r>
              <w:rPr>
                <w:color w:val="auto"/>
              </w:rPr>
              <w:t xml:space="preserve"> GOOD </w:t>
            </w:r>
            <w:r>
              <w:rPr>
                <w:rFonts w:hint="eastAsia"/>
                <w:color w:val="auto"/>
              </w:rPr>
              <w:t>标记；未映射数据进隔离区可重放</w:t>
            </w:r>
          </w:p>
        </w:tc>
        <w:tc>
          <w:p w14:paraId="2FE5C5F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开发中</w:t>
            </w:r>
          </w:p>
        </w:tc>
      </w:tr>
      <w:tr w14:paraId="5EA40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7F46A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FR-HOSP-04</w:t>
            </w:r>
          </w:p>
        </w:tc>
        <w:tc>
          <w:p w14:paraId="676EF2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异步落</w:t>
            </w:r>
            <w:r>
              <w:rPr>
                <w:color w:val="auto"/>
              </w:rPr>
              <w:t xml:space="preserve"> MySQL+TDengine</w:t>
            </w:r>
          </w:p>
        </w:tc>
        <w:tc>
          <w:p w14:paraId="4F3702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医院/数据处理</w:t>
            </w:r>
          </w:p>
        </w:tc>
        <w:tc>
          <w:p w14:paraId="7D2B3C6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6760459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SRC-02、REF-09</w:t>
            </w:r>
          </w:p>
        </w:tc>
        <w:tc>
          <w:p w14:paraId="7D031B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待编制《医院模块概要设计-存储》</w:t>
            </w:r>
          </w:p>
        </w:tc>
        <w:tc>
          <w:p w14:paraId="382EAAD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TASK-H-004</w:t>
            </w:r>
          </w:p>
        </w:tc>
        <w:tc>
          <w:p w14:paraId="4B58FDE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TC-H-004</w:t>
            </w:r>
          </w:p>
        </w:tc>
        <w:tc>
          <w:p w14:paraId="6913E71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RabbitMQ </w:t>
            </w:r>
            <w:r>
              <w:rPr>
                <w:rFonts w:hint="eastAsia"/>
                <w:color w:val="auto"/>
              </w:rPr>
              <w:t>异步双写；td.enabled=false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下降级落</w:t>
            </w:r>
            <w:r>
              <w:rPr>
                <w:color w:val="auto"/>
              </w:rPr>
              <w:t xml:space="preserve"> MySQL </w:t>
            </w:r>
            <w:r>
              <w:rPr>
                <w:rFonts w:hint="eastAsia"/>
                <w:color w:val="auto"/>
              </w:rPr>
              <w:t>功能不缺失；幂等无重复</w:t>
            </w:r>
          </w:p>
        </w:tc>
        <w:tc>
          <w:p w14:paraId="67E0A1B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待联调</w:t>
            </w:r>
          </w:p>
        </w:tc>
      </w:tr>
      <w:tr w14:paraId="36D58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ED871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FR-HOSP-05</w:t>
            </w:r>
          </w:p>
        </w:tc>
        <w:tc>
          <w:p w14:paraId="63EACA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失败重试与补偿（不丢数）</w:t>
            </w:r>
          </w:p>
        </w:tc>
        <w:tc>
          <w:p w14:paraId="62EF54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医院/数据处理</w:t>
            </w:r>
          </w:p>
        </w:tc>
        <w:tc>
          <w:p w14:paraId="18D5805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3810D7F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SRC-02、P-04</w:t>
            </w:r>
          </w:p>
        </w:tc>
        <w:tc>
          <w:p w14:paraId="1F389C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待编制《医院模块概要设计-可靠性》</w:t>
            </w:r>
          </w:p>
        </w:tc>
        <w:tc>
          <w:p w14:paraId="710CCAD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TASK-H-005</w:t>
            </w:r>
          </w:p>
        </w:tc>
        <w:tc>
          <w:p w14:paraId="62A46F9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TC-H-005</w:t>
            </w:r>
          </w:p>
        </w:tc>
        <w:tc>
          <w:p w14:paraId="4E6268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故障注入后重试+死信重放数据零丢失；提供对账（接收/入库/失败计数）</w:t>
            </w:r>
          </w:p>
        </w:tc>
        <w:tc>
          <w:p w14:paraId="6BEC5E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开发中</w:t>
            </w:r>
          </w:p>
        </w:tc>
      </w:tr>
      <w:tr w14:paraId="521E1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BAA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FR-HOSP-06</w:t>
            </w:r>
          </w:p>
        </w:tc>
        <w:tc>
          <w:p w14:paraId="2D59A4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回调日志</w:t>
            </w:r>
          </w:p>
        </w:tc>
        <w:tc>
          <w:p w14:paraId="3AC148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医院/运维支撑</w:t>
            </w:r>
          </w:p>
        </w:tc>
        <w:tc>
          <w:p w14:paraId="2FEB339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4FCB344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SRC-01、SRC-15</w:t>
            </w:r>
          </w:p>
        </w:tc>
        <w:tc>
          <w:p w14:paraId="49F60C2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待编制《医院模块概要设计-日志审计》</w:t>
            </w:r>
          </w:p>
        </w:tc>
        <w:tc>
          <w:p w14:paraId="12595E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TASK-H-006</w:t>
            </w:r>
          </w:p>
        </w:tc>
        <w:tc>
          <w:p w14:paraId="60A1560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TC-H-006</w:t>
            </w:r>
          </w:p>
        </w:tc>
        <w:tc>
          <w:p w14:paraId="33431B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全量回调可按院区/时间/结果检索；原始报文受控可查；日志故障不影响主链路</w:t>
            </w:r>
          </w:p>
        </w:tc>
        <w:tc>
          <w:p w14:paraId="1E79E8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开发中</w:t>
            </w:r>
          </w:p>
        </w:tc>
      </w:tr>
      <w:tr w14:paraId="0D2C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55C3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FR-HOSP-07</w:t>
            </w:r>
          </w:p>
        </w:tc>
        <w:tc>
          <w:p w14:paraId="25C5BA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检查检验设备台账</w:t>
            </w:r>
          </w:p>
        </w:tc>
        <w:tc>
          <w:p w14:paraId="655E3D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医院/基础档案</w:t>
            </w:r>
          </w:p>
        </w:tc>
        <w:tc>
          <w:p w14:paraId="2DDBC9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590F1D7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SRC-03</w:t>
            </w:r>
          </w:p>
        </w:tc>
        <w:tc>
          <w:p w14:paraId="1B1952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待编制《医院模块详细设计-台账》</w:t>
            </w:r>
          </w:p>
        </w:tc>
        <w:tc>
          <w:p w14:paraId="38A0C5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TASK-H-007</w:t>
            </w:r>
          </w:p>
        </w:tc>
        <w:tc>
          <w:p w14:paraId="040001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TC-H-007</w:t>
            </w:r>
          </w:p>
        </w:tc>
        <w:tc>
          <w:p w14:paraId="0837138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六类设备台账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CRUD、批量导入导出、与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标识绑定、状态全生命周期留痕</w:t>
            </w:r>
          </w:p>
        </w:tc>
        <w:tc>
          <w:p w14:paraId="4C1703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开发中</w:t>
            </w:r>
          </w:p>
        </w:tc>
      </w:tr>
      <w:tr w14:paraId="4794E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D5B7D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FR-HOSP-08</w:t>
            </w:r>
          </w:p>
        </w:tc>
        <w:tc>
          <w:p w14:paraId="645210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指标定义管理</w:t>
            </w:r>
          </w:p>
        </w:tc>
        <w:tc>
          <w:p w14:paraId="138110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医院/基础档案</w:t>
            </w:r>
          </w:p>
        </w:tc>
        <w:tc>
          <w:p w14:paraId="3E71B7D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42F1C7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SRC-04</w:t>
            </w:r>
          </w:p>
        </w:tc>
        <w:tc>
          <w:p w14:paraId="6DB6C50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待编制《医院模块详细设计-指标》</w:t>
            </w:r>
          </w:p>
        </w:tc>
        <w:tc>
          <w:p w14:paraId="4D7450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TASK-H-008</w:t>
            </w:r>
          </w:p>
        </w:tc>
        <w:tc>
          <w:p w14:paraId="691CCAE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TC-H-008</w:t>
            </w:r>
          </w:p>
        </w:tc>
        <w:tc>
          <w:p w14:paraId="45D02F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指标统一定义、中英名称、单位换算、厂商映射、版本化；被引用指标不可删</w:t>
            </w:r>
          </w:p>
        </w:tc>
        <w:tc>
          <w:p w14:paraId="0A2A23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待开发</w:t>
            </w:r>
          </w:p>
        </w:tc>
      </w:tr>
      <w:tr w14:paraId="0F55D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FCBE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FR-HOSP-09</w:t>
            </w:r>
          </w:p>
        </w:tc>
        <w:tc>
          <w:p w14:paraId="1AB33FE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院区/分区管理</w:t>
            </w:r>
          </w:p>
        </w:tc>
        <w:tc>
          <w:p w14:paraId="50EF7B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医院/组织模型</w:t>
            </w:r>
          </w:p>
        </w:tc>
        <w:tc>
          <w:p w14:paraId="528F45C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70B5F5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SRC-05</w:t>
            </w:r>
          </w:p>
        </w:tc>
        <w:tc>
          <w:p w14:paraId="548046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待编制《医院模块详细设计-组织》</w:t>
            </w:r>
          </w:p>
        </w:tc>
        <w:tc>
          <w:p w14:paraId="58B0463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TASK-H-009</w:t>
            </w:r>
          </w:p>
        </w:tc>
        <w:tc>
          <w:p w14:paraId="33D0382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TC-H-009</w:t>
            </w:r>
          </w:p>
        </w:tc>
        <w:tc>
          <w:p w14:paraId="3597C2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院区—分区—科室—设备层级可维护；院区独立时区与凭证；层级调整保历史快照</w:t>
            </w:r>
          </w:p>
        </w:tc>
        <w:tc>
          <w:p w14:paraId="01B81B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开发中</w:t>
            </w:r>
          </w:p>
        </w:tc>
      </w:tr>
      <w:tr w14:paraId="22599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4302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FR-HOSP-10</w:t>
            </w:r>
          </w:p>
        </w:tc>
        <w:tc>
          <w:p w14:paraId="4DA6EC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设备实时监测</w:t>
            </w:r>
          </w:p>
        </w:tc>
        <w:tc>
          <w:p w14:paraId="2205A7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医院/监测</w:t>
            </w:r>
          </w:p>
        </w:tc>
        <w:tc>
          <w:p w14:paraId="36D0F03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42D1BAD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SRC-06</w:t>
            </w:r>
          </w:p>
        </w:tc>
        <w:tc>
          <w:p w14:paraId="63408B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待编制《医院模块详细设计-监测》</w:t>
            </w:r>
          </w:p>
        </w:tc>
        <w:tc>
          <w:p w14:paraId="5EA482B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TASK-H-010</w:t>
            </w:r>
          </w:p>
        </w:tc>
        <w:tc>
          <w:p w14:paraId="12725A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TC-H-010</w:t>
            </w:r>
          </w:p>
        </w:tc>
        <w:tc>
          <w:p w14:paraId="2E523F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工况/最新值/质量戳展示，端到端时延≤5s，查询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P95≤1s；离线显式区分</w:t>
            </w:r>
          </w:p>
        </w:tc>
        <w:tc>
          <w:p w14:paraId="12D912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待开发</w:t>
            </w:r>
          </w:p>
        </w:tc>
      </w:tr>
      <w:tr w14:paraId="4B6F9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8F9D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FR-HOSP-11</w:t>
            </w:r>
          </w:p>
        </w:tc>
        <w:tc>
          <w:p w14:paraId="479CBF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设备工作量统计</w:t>
            </w:r>
          </w:p>
        </w:tc>
        <w:tc>
          <w:p w14:paraId="4FD387A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医院/分析评估（M3）</w:t>
            </w:r>
          </w:p>
        </w:tc>
        <w:tc>
          <w:p w14:paraId="6B43F26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236B2B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SRC-07</w:t>
            </w:r>
          </w:p>
        </w:tc>
        <w:tc>
          <w:p w14:paraId="796076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待编制《医院模块详细设计-分析模型》</w:t>
            </w:r>
          </w:p>
        </w:tc>
        <w:tc>
          <w:p w14:paraId="15E7F2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TASK-H-011</w:t>
            </w:r>
          </w:p>
        </w:tc>
        <w:tc>
          <w:p w14:paraId="0381932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TC-H-011</w:t>
            </w:r>
          </w:p>
        </w:tc>
        <w:tc>
          <w:p w14:paraId="31B718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按周期统计工作量与工况时长；支持同环比、导出；缺口径设备不参与排名</w:t>
            </w:r>
          </w:p>
        </w:tc>
        <w:tc>
          <w:p w14:paraId="00BA86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待开发</w:t>
            </w:r>
          </w:p>
        </w:tc>
      </w:tr>
      <w:tr w14:paraId="4D504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E6ED0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FR-HOSP-12</w:t>
            </w:r>
          </w:p>
        </w:tc>
        <w:tc>
          <w:p w14:paraId="4737C6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设备能效评估</w:t>
            </w:r>
          </w:p>
        </w:tc>
        <w:tc>
          <w:p w14:paraId="534006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医院/分析评估（M3）</w:t>
            </w:r>
          </w:p>
        </w:tc>
        <w:tc>
          <w:p w14:paraId="6B130A5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5FA2514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SRC-07、P-02</w:t>
            </w:r>
          </w:p>
        </w:tc>
        <w:tc>
          <w:p w14:paraId="15460D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待编制《医院模块详细设计-能效模型》</w:t>
            </w:r>
          </w:p>
        </w:tc>
        <w:tc>
          <w:p w14:paraId="6FD2788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TASK-H-012</w:t>
            </w:r>
          </w:p>
        </w:tc>
        <w:tc>
          <w:p w14:paraId="5526774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TC-H-012</w:t>
            </w:r>
          </w:p>
        </w:tc>
        <w:tc>
          <w:p w14:paraId="35D675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单位工作量能耗/待机占比可复算；横纵向对比、标杆评级、剔除项可解释</w:t>
            </w:r>
          </w:p>
        </w:tc>
        <w:tc>
          <w:p w14:paraId="0D407D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待开发</w:t>
            </w:r>
          </w:p>
        </w:tc>
      </w:tr>
      <w:tr w14:paraId="15E14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8FFB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FR-HOSP-13</w:t>
            </w:r>
          </w:p>
        </w:tc>
        <w:tc>
          <w:p w14:paraId="5DF699F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分区能耗分析</w:t>
            </w:r>
          </w:p>
        </w:tc>
        <w:tc>
          <w:p w14:paraId="49BFE3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医院/分析评估（M3）</w:t>
            </w:r>
          </w:p>
        </w:tc>
        <w:tc>
          <w:p w14:paraId="11D3545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2C99159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SRC-08、P-07</w:t>
            </w:r>
          </w:p>
        </w:tc>
        <w:tc>
          <w:p w14:paraId="3D4769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待编制《医院模块详细设计-分区核算》</w:t>
            </w:r>
          </w:p>
        </w:tc>
        <w:tc>
          <w:p w14:paraId="185CF63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TASK-H-013</w:t>
            </w:r>
          </w:p>
        </w:tc>
        <w:tc>
          <w:p w14:paraId="44B4A79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TC-H-013</w:t>
            </w:r>
          </w:p>
        </w:tc>
        <w:tc>
          <w:p w14:paraId="10E4D5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分区归集、趋势占比排名；分摊规则可配留痕；未分摊能耗单列</w:t>
            </w:r>
          </w:p>
        </w:tc>
        <w:tc>
          <w:p w14:paraId="0AEA84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待开发</w:t>
            </w:r>
          </w:p>
        </w:tc>
      </w:tr>
      <w:tr w14:paraId="66888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FE58E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FR-HOSP-14</w:t>
            </w:r>
          </w:p>
        </w:tc>
        <w:tc>
          <w:p w14:paraId="458A37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节能建议</w:t>
            </w:r>
          </w:p>
        </w:tc>
        <w:tc>
          <w:p w14:paraId="56D55A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医院/决策支持（M3）</w:t>
            </w:r>
          </w:p>
        </w:tc>
        <w:tc>
          <w:p w14:paraId="2C1FBFA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491F316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SRC-09、P-12、CMP-07</w:t>
            </w:r>
          </w:p>
        </w:tc>
        <w:tc>
          <w:p w14:paraId="0DC129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待编制《医院模块详细设计-节能建议》</w:t>
            </w:r>
          </w:p>
        </w:tc>
        <w:tc>
          <w:p w14:paraId="58F28B7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TASK-H-014</w:t>
            </w:r>
          </w:p>
        </w:tc>
        <w:tc>
          <w:p w14:paraId="1871044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TC-H-014</w:t>
            </w:r>
          </w:p>
        </w:tc>
        <w:tc>
          <w:p w14:paraId="7167AD2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建议含数据依据、节能空间、安全约束；可采纳/驳回/转工单并跟踪效果</w:t>
            </w:r>
          </w:p>
        </w:tc>
        <w:tc>
          <w:p w14:paraId="7A2EF6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待开发</w:t>
            </w:r>
          </w:p>
        </w:tc>
      </w:tr>
      <w:tr w14:paraId="1D2D5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0C5E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FR-HOSP-15</w:t>
            </w:r>
          </w:p>
        </w:tc>
        <w:tc>
          <w:p w14:paraId="67FD06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医院报警规则</w:t>
            </w:r>
          </w:p>
        </w:tc>
        <w:tc>
          <w:p w14:paraId="0B223D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医院/报警（M2）</w:t>
            </w:r>
          </w:p>
        </w:tc>
        <w:tc>
          <w:p w14:paraId="116B2AC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155BD9D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SRC-06、P-05</w:t>
            </w:r>
          </w:p>
        </w:tc>
        <w:tc>
          <w:p w14:paraId="0C470A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复用通用报警引擎+《医院规则设计》</w:t>
            </w:r>
          </w:p>
        </w:tc>
        <w:tc>
          <w:p w14:paraId="3F78823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TASK-H-015</w:t>
            </w:r>
          </w:p>
        </w:tc>
        <w:tc>
          <w:p w14:paraId="4FE78E3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TC-H-015</w:t>
            </w:r>
          </w:p>
        </w:tc>
        <w:tc>
          <w:p w14:paraId="4EB745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支持阈值/突变/无数据/工况/质量戳规则；模板化、按院区隔离、可模拟校验</w:t>
            </w:r>
          </w:p>
        </w:tc>
        <w:tc>
          <w:p w14:paraId="5CCEC7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待开发</w:t>
            </w:r>
          </w:p>
        </w:tc>
      </w:tr>
      <w:tr w14:paraId="60C99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BB2E7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FR-HOSP-16</w:t>
            </w:r>
          </w:p>
        </w:tc>
        <w:tc>
          <w:p w14:paraId="06155B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医院报警记录与联动</w:t>
            </w:r>
          </w:p>
        </w:tc>
        <w:tc>
          <w:p w14:paraId="3804E9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医院/报警（M2）</w:t>
            </w:r>
          </w:p>
        </w:tc>
        <w:tc>
          <w:p w14:paraId="173D0B5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0B07D7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SRC-06、P-05</w:t>
            </w:r>
          </w:p>
        </w:tc>
        <w:tc>
          <w:p w14:paraId="3D0D9F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复用通用报警/工单设计</w:t>
            </w:r>
          </w:p>
        </w:tc>
        <w:tc>
          <w:p w14:paraId="47C434B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TASK-H-016</w:t>
            </w:r>
          </w:p>
        </w:tc>
        <w:tc>
          <w:p w14:paraId="45D419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TC-H-016</w:t>
            </w:r>
          </w:p>
        </w:tc>
        <w:tc>
          <w:p w14:paraId="5C6635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报警确认/恢复闭环；联动邮件与维修工单；风暴抑制；闭环率可统计</w:t>
            </w:r>
          </w:p>
        </w:tc>
        <w:tc>
          <w:p w14:paraId="20ECA6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待开发</w:t>
            </w:r>
          </w:p>
        </w:tc>
      </w:tr>
      <w:tr w14:paraId="3AC88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A26B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FR-HOSP-17</w:t>
            </w:r>
          </w:p>
        </w:tc>
        <w:tc>
          <w:p w14:paraId="5DCEA8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医院大屏</w:t>
            </w:r>
          </w:p>
        </w:tc>
        <w:tc>
          <w:p w14:paraId="1C5998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医院/可视化（M4）</w:t>
            </w:r>
          </w:p>
        </w:tc>
        <w:tc>
          <w:p w14:paraId="51948F6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2A96C9E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SRC-10、P-08</w:t>
            </w:r>
          </w:p>
        </w:tc>
        <w:tc>
          <w:p w14:paraId="269C5C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待编制《医院大屏设计稿》</w:t>
            </w:r>
          </w:p>
        </w:tc>
        <w:tc>
          <w:p w14:paraId="520C21C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TASK-H-017</w:t>
            </w:r>
          </w:p>
        </w:tc>
        <w:tc>
          <w:p w14:paraId="25BC860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TC-H-017</w:t>
            </w:r>
          </w:p>
        </w:tc>
        <w:tc>
          <w:p w14:paraId="2A055F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首屏≤3s；核心指标完整、自动刷新；部分组件失败不白屏；可下钻</w:t>
            </w:r>
          </w:p>
        </w:tc>
        <w:tc>
          <w:p w14:paraId="420AB0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待开发</w:t>
            </w:r>
          </w:p>
        </w:tc>
      </w:tr>
      <w:tr w14:paraId="5D1A2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C686A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FR-HOSP-18</w:t>
            </w:r>
          </w:p>
        </w:tc>
        <w:tc>
          <w:p w14:paraId="536CFB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多院区数据隔离</w:t>
            </w:r>
          </w:p>
        </w:tc>
        <w:tc>
          <w:p w14:paraId="22E3AA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医院/权限（M2）</w:t>
            </w:r>
          </w:p>
        </w:tc>
        <w:tc>
          <w:p w14:paraId="7E9A62D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7D01975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SRC-05、P-09</w:t>
            </w:r>
          </w:p>
        </w:tc>
        <w:tc>
          <w:p w14:paraId="37C5CF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待编制《医院模块详细设计-权限》</w:t>
            </w:r>
          </w:p>
        </w:tc>
        <w:tc>
          <w:p w14:paraId="4BF4AA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TASK-H-018</w:t>
            </w:r>
          </w:p>
        </w:tc>
        <w:tc>
          <w:p w14:paraId="3231B5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TC-H-018</w:t>
            </w:r>
          </w:p>
        </w:tc>
        <w:tc>
          <w:p w14:paraId="46A2E0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页面/接口强制院区过滤；越权访问</w:t>
            </w:r>
            <w:r>
              <w:rPr>
                <w:color w:val="auto"/>
              </w:rPr>
              <w:t xml:space="preserve"> 100% </w:t>
            </w:r>
            <w:r>
              <w:rPr>
                <w:rFonts w:hint="eastAsia"/>
                <w:color w:val="auto"/>
              </w:rPr>
              <w:t>拦截并审计；授权后可跨院区汇总</w:t>
            </w:r>
          </w:p>
        </w:tc>
        <w:tc>
          <w:p w14:paraId="4A797E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待开发</w:t>
            </w:r>
          </w:p>
        </w:tc>
      </w:tr>
      <w:tr w14:paraId="1E6CB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6241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FR-HOSP-19</w:t>
            </w:r>
          </w:p>
        </w:tc>
        <w:tc>
          <w:p w14:paraId="28E15A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中英文国际化与多时区</w:t>
            </w:r>
          </w:p>
        </w:tc>
        <w:tc>
          <w:p w14:paraId="2079E0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医院/国际化（M2/M4）</w:t>
            </w:r>
          </w:p>
        </w:tc>
        <w:tc>
          <w:p w14:paraId="5D3BEF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568E91A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SRC-11、P-10</w:t>
            </w:r>
          </w:p>
        </w:tc>
        <w:tc>
          <w:p w14:paraId="2BB9EA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docs/后台菜单国际化详细处理方案.md、docs/国际化开发详细计划.md</w:t>
            </w:r>
          </w:p>
        </w:tc>
        <w:tc>
          <w:p w14:paraId="7EA0C4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TASK-H-019</w:t>
            </w:r>
          </w:p>
        </w:tc>
        <w:tc>
          <w:p w14:paraId="57D45D7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TC-H-019</w:t>
            </w:r>
          </w:p>
        </w:tc>
        <w:tc>
          <w:p w14:paraId="3C2768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菜单/页面/字典/消息中英无硬编码；UTC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存储、按院区时区展示并标注</w:t>
            </w:r>
          </w:p>
        </w:tc>
        <w:tc>
          <w:p w14:paraId="45A1EB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待开发</w:t>
            </w:r>
          </w:p>
        </w:tc>
      </w:tr>
      <w:tr w14:paraId="6A747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30733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FR-HOSP-20</w:t>
            </w:r>
          </w:p>
        </w:tc>
        <w:tc>
          <w:p w14:paraId="71E4CB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回调链路监控与运维告警</w:t>
            </w:r>
          </w:p>
        </w:tc>
        <w:tc>
          <w:p w14:paraId="4329A4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医院/运维支撑（M1）</w:t>
            </w:r>
          </w:p>
        </w:tc>
        <w:tc>
          <w:p w14:paraId="28C4F64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202D03A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SRC-15</w:t>
            </w:r>
          </w:p>
        </w:tc>
        <w:tc>
          <w:p w14:paraId="311D5A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待编制《医院模块概要设计-可观测性》</w:t>
            </w:r>
          </w:p>
        </w:tc>
        <w:tc>
          <w:p w14:paraId="46C01AC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TASK-H-020</w:t>
            </w:r>
          </w:p>
        </w:tc>
        <w:tc>
          <w:p w14:paraId="1A26861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TC-H-020</w:t>
            </w:r>
          </w:p>
        </w:tc>
        <w:tc>
          <w:p w14:paraId="354533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TPS/成功率/耗时/积压/死信看板；阈值告警；监控故障不影响主链路</w:t>
            </w:r>
          </w:p>
        </w:tc>
        <w:tc>
          <w:p w14:paraId="4AFDD0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待开发</w:t>
            </w:r>
          </w:p>
        </w:tc>
      </w:tr>
      <w:bookmarkEnd w:id="11"/>
    </w:tbl>
    <w:p w14:paraId="33A89D77">
      <w:pPr>
        <w:pStyle w:val="5"/>
        <w:rPr>
          <w:color w:val="auto"/>
        </w:rPr>
      </w:pPr>
      <w:bookmarkStart w:id="12" w:name="既有业务域关键需求基线加性开发不得改变其行为"/>
      <w:r>
        <w:rPr>
          <w:color w:val="auto"/>
        </w:rPr>
        <w:t xml:space="preserve">4.2 </w:t>
      </w:r>
      <w:r>
        <w:rPr>
          <w:rFonts w:hint="eastAsia"/>
          <w:color w:val="auto"/>
        </w:rPr>
        <w:t>既有业务域关键需求（基线，加性开发不得改变其行为）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</w:tblGrid>
      <w:tr w14:paraId="0579C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BB5C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需求编号</w:t>
            </w:r>
          </w:p>
        </w:tc>
        <w:tc>
          <w:p w14:paraId="67E29E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需求名称</w:t>
            </w:r>
          </w:p>
        </w:tc>
        <w:tc>
          <w:p w14:paraId="41CF83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所属模块</w:t>
            </w:r>
          </w:p>
        </w:tc>
        <w:tc>
          <w:p w14:paraId="6C778F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优先级</w:t>
            </w:r>
          </w:p>
        </w:tc>
        <w:tc>
          <w:p w14:paraId="5BD7D0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来源</w:t>
            </w:r>
          </w:p>
        </w:tc>
        <w:tc>
          <w:p w14:paraId="3B964D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对应设计文档</w:t>
            </w:r>
          </w:p>
        </w:tc>
        <w:tc>
          <w:p w14:paraId="7A90AA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开发任务</w:t>
            </w:r>
          </w:p>
        </w:tc>
        <w:tc>
          <w:p w14:paraId="1B769E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测试用例编号</w:t>
            </w:r>
          </w:p>
        </w:tc>
        <w:tc>
          <w:p w14:paraId="1AC4E1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验收标准</w:t>
            </w:r>
          </w:p>
        </w:tc>
        <w:tc>
          <w:p w14:paraId="584F2C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</w:t>
            </w:r>
          </w:p>
        </w:tc>
      </w:tr>
      <w:tr w14:paraId="53980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3A6E7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FR-EQP-01</w:t>
            </w:r>
          </w:p>
        </w:tc>
        <w:tc>
          <w:p w14:paraId="5B1063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设备档案管理</w:t>
            </w:r>
          </w:p>
        </w:tc>
        <w:tc>
          <w:p w14:paraId="52895A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设备管理</w:t>
            </w:r>
          </w:p>
        </w:tc>
        <w:tc>
          <w:p w14:paraId="3348E91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6174DC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5079E1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00D8CF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TASK-B-001</w:t>
            </w:r>
          </w:p>
        </w:tc>
        <w:tc>
          <w:p w14:paraId="242312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TC-B-001</w:t>
            </w:r>
          </w:p>
        </w:tc>
        <w:tc>
          <w:p w14:paraId="67E39F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档案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CRUD/导入导出/逻辑删除；唯一编号校验；被引用删除拦截</w:t>
            </w:r>
          </w:p>
        </w:tc>
        <w:tc>
          <w:p w14:paraId="1FDABF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07713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6859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FR-EQP-02</w:t>
            </w:r>
          </w:p>
        </w:tc>
        <w:tc>
          <w:p w14:paraId="452394C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网关管理</w:t>
            </w:r>
          </w:p>
        </w:tc>
        <w:tc>
          <w:p w14:paraId="44E072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设备管理</w:t>
            </w:r>
          </w:p>
        </w:tc>
        <w:tc>
          <w:p w14:paraId="7BF7FBA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178E80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3DF4926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docs/架构设计/系统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MQTT使用与架构分析报告.md</w:t>
            </w:r>
          </w:p>
        </w:tc>
        <w:tc>
          <w:p w14:paraId="479D116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TASK-B-002</w:t>
            </w:r>
          </w:p>
        </w:tc>
        <w:tc>
          <w:p w14:paraId="5F3D5B9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TC-B-002</w:t>
            </w:r>
          </w:p>
        </w:tc>
        <w:tc>
          <w:p w14:paraId="0A65FD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网关注册、心跳离线判定、设备绑定、状态留痕</w:t>
            </w:r>
          </w:p>
        </w:tc>
        <w:tc>
          <w:p w14:paraId="6640089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68548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12EA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FR-ENE-01</w:t>
            </w:r>
          </w:p>
        </w:tc>
        <w:tc>
          <w:p w14:paraId="6A85D2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能耗概况</w:t>
            </w:r>
          </w:p>
        </w:tc>
        <w:tc>
          <w:p w14:paraId="653F3B6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能耗分析</w:t>
            </w:r>
          </w:p>
        </w:tc>
        <w:tc>
          <w:p w14:paraId="23383F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52F65D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24F5C10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6E7B485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TASK-B-003</w:t>
            </w:r>
          </w:p>
        </w:tc>
        <w:tc>
          <w:p w14:paraId="5606F14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TC-B-003</w:t>
            </w:r>
          </w:p>
        </w:tc>
        <w:tc>
          <w:p w14:paraId="597FCC7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指标卡/占比按权限输出；无数据显式空状态</w:t>
            </w:r>
          </w:p>
        </w:tc>
        <w:tc>
          <w:p w14:paraId="4BEC7E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74918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D739C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FR-ENE-02</w:t>
            </w:r>
          </w:p>
        </w:tc>
        <w:tc>
          <w:p w14:paraId="35F00D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能耗趋势与同环比</w:t>
            </w:r>
          </w:p>
        </w:tc>
        <w:tc>
          <w:p w14:paraId="5E51BA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能耗分析</w:t>
            </w:r>
          </w:p>
        </w:tc>
        <w:tc>
          <w:p w14:paraId="7ABDF6C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2F0A2A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基线、P-06</w:t>
            </w:r>
          </w:p>
        </w:tc>
        <w:tc>
          <w:p w14:paraId="2BD1E7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3870380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TASK-B-004</w:t>
            </w:r>
          </w:p>
        </w:tc>
        <w:tc>
          <w:p w14:paraId="78ED1D0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TC-B-004</w:t>
            </w:r>
          </w:p>
        </w:tc>
        <w:tc>
          <w:p w14:paraId="521D1E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多粒度聚合；同环比正确；缺数标记不参与百分比</w:t>
            </w:r>
          </w:p>
        </w:tc>
        <w:tc>
          <w:p w14:paraId="4FB5C5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6E3FE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74E1A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FR-ENE-03</w:t>
            </w:r>
          </w:p>
        </w:tc>
        <w:tc>
          <w:p w14:paraId="071744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分项、流向与损耗分析</w:t>
            </w:r>
          </w:p>
        </w:tc>
        <w:tc>
          <w:p w14:paraId="050BFF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能耗分析</w:t>
            </w:r>
          </w:p>
        </w:tc>
        <w:tc>
          <w:p w14:paraId="04A3C39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27EC4E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359409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15A371A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TASK-B-005</w:t>
            </w:r>
          </w:p>
        </w:tc>
        <w:tc>
          <w:p w14:paraId="7670A3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TC-B-005</w:t>
            </w:r>
          </w:p>
        </w:tc>
        <w:tc>
          <w:p w14:paraId="271DA7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分项归集、流向图、损耗率；拓扑缺失提示</w:t>
            </w:r>
          </w:p>
        </w:tc>
        <w:tc>
          <w:p w14:paraId="2E916E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60476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3FD4E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FR-ENE-04</w:t>
            </w:r>
          </w:p>
        </w:tc>
        <w:tc>
          <w:p w14:paraId="5926C4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费用、能源平衡与标杆</w:t>
            </w:r>
          </w:p>
        </w:tc>
        <w:tc>
          <w:p w14:paraId="3058DA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能耗分析</w:t>
            </w:r>
          </w:p>
        </w:tc>
        <w:tc>
          <w:p w14:paraId="097E238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65879C1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17C31A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7D77C1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TASK-B-006</w:t>
            </w:r>
          </w:p>
        </w:tc>
        <w:tc>
          <w:p w14:paraId="1CFCB3E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TC-B-006</w:t>
            </w:r>
          </w:p>
        </w:tc>
        <w:tc>
          <w:p w14:paraId="1B596C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费用按价格计算；平衡偏差超阈值可转核查</w:t>
            </w:r>
          </w:p>
        </w:tc>
        <w:tc>
          <w:p w14:paraId="165031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241B7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34CA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FR-ENE-05</w:t>
            </w:r>
          </w:p>
        </w:tc>
        <w:tc>
          <w:p w14:paraId="1E4E66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电能质量</w:t>
            </w:r>
          </w:p>
        </w:tc>
        <w:tc>
          <w:p w14:paraId="31711F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能耗分析</w:t>
            </w:r>
          </w:p>
        </w:tc>
        <w:tc>
          <w:p w14:paraId="46B9191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14C2CEB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6009E5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617B890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TASK-B-007</w:t>
            </w:r>
          </w:p>
        </w:tc>
        <w:tc>
          <w:p w14:paraId="5E67CC8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TC-B-007</w:t>
            </w:r>
          </w:p>
        </w:tc>
        <w:tc>
          <w:p w14:paraId="2008BC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越限统计与事件留存；测点缺失降级展示</w:t>
            </w:r>
          </w:p>
        </w:tc>
        <w:tc>
          <w:p w14:paraId="228121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29ECE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1335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FR-ALM-01</w:t>
            </w:r>
          </w:p>
        </w:tc>
        <w:tc>
          <w:p w14:paraId="6EFC55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实时报警与历史查询</w:t>
            </w:r>
          </w:p>
        </w:tc>
        <w:tc>
          <w:p w14:paraId="5037F7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报警管理</w:t>
            </w:r>
          </w:p>
        </w:tc>
        <w:tc>
          <w:p w14:paraId="72C447C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30E68C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7DB88E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0AB345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TASK-B-008</w:t>
            </w:r>
          </w:p>
        </w:tc>
        <w:tc>
          <w:p w14:paraId="03D0432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TC-B-008</w:t>
            </w:r>
          </w:p>
        </w:tc>
        <w:tc>
          <w:p w14:paraId="3F331D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触发/恢复正确；等级提示；历史多维检索与确认</w:t>
            </w:r>
          </w:p>
        </w:tc>
        <w:tc>
          <w:p w14:paraId="51ADD3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42723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4A34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FR-ALM-02</w:t>
            </w:r>
          </w:p>
        </w:tc>
        <w:tc>
          <w:p w14:paraId="148CBC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报警规则配置</w:t>
            </w:r>
          </w:p>
        </w:tc>
        <w:tc>
          <w:p w14:paraId="5399A7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报警管理</w:t>
            </w:r>
          </w:p>
        </w:tc>
        <w:tc>
          <w:p w14:paraId="709166D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3722FF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2DCFE90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0664BB2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TASK-B-009</w:t>
            </w:r>
          </w:p>
        </w:tc>
        <w:tc>
          <w:p w14:paraId="6ABCB9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TC-B-009</w:t>
            </w:r>
          </w:p>
        </w:tc>
        <w:tc>
          <w:p w14:paraId="1F0F40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多类型规则、防抖、时段；非法表达式保存拦截</w:t>
            </w:r>
          </w:p>
        </w:tc>
        <w:tc>
          <w:p w14:paraId="2C1FBF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72A0A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C60D1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FR-ALM-03</w:t>
            </w:r>
          </w:p>
        </w:tc>
        <w:tc>
          <w:p w14:paraId="7A0864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报警联动（邮件/工单）</w:t>
            </w:r>
          </w:p>
        </w:tc>
        <w:tc>
          <w:p w14:paraId="59648F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报警管理</w:t>
            </w:r>
          </w:p>
        </w:tc>
        <w:tc>
          <w:p w14:paraId="5C407BE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1B6E57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1A8358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701F60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TASK-B-010</w:t>
            </w:r>
          </w:p>
        </w:tc>
        <w:tc>
          <w:p w14:paraId="572EDA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TC-B-010</w:t>
            </w:r>
          </w:p>
        </w:tc>
        <w:tc>
          <w:p w14:paraId="22E323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触发联动成功；失败重试留痕且不影响报警主流程</w:t>
            </w:r>
          </w:p>
        </w:tc>
        <w:tc>
          <w:p w14:paraId="2CC204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025A3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E67C0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FR-OMS-01</w:t>
            </w:r>
          </w:p>
        </w:tc>
        <w:tc>
          <w:p w14:paraId="515235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巡检计划与任务</w:t>
            </w:r>
          </w:p>
        </w:tc>
        <w:tc>
          <w:p w14:paraId="7A6B61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运维管理</w:t>
            </w:r>
          </w:p>
        </w:tc>
        <w:tc>
          <w:p w14:paraId="61BACD0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45C334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61158F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530D6B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TASK-B-011</w:t>
            </w:r>
          </w:p>
        </w:tc>
        <w:tc>
          <w:p w14:paraId="2D29B6E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TC-B-011</w:t>
            </w:r>
          </w:p>
        </w:tc>
        <w:tc>
          <w:p w14:paraId="1307618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按计划生成任务；漏检统计；调期通知</w:t>
            </w:r>
          </w:p>
        </w:tc>
        <w:tc>
          <w:p w14:paraId="448BE0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33080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6EE80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FR-OMS-02</w:t>
            </w:r>
          </w:p>
        </w:tc>
        <w:tc>
          <w:p w14:paraId="789F95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巡检记录与巡检点</w:t>
            </w:r>
          </w:p>
        </w:tc>
        <w:tc>
          <w:p w14:paraId="0B162C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运维管理</w:t>
            </w:r>
          </w:p>
        </w:tc>
        <w:tc>
          <w:p w14:paraId="0FC7E43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1AA23E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134116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18E443E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TASK-B-012</w:t>
            </w:r>
          </w:p>
        </w:tc>
        <w:tc>
          <w:p w14:paraId="75961AC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TC-B-012</w:t>
            </w:r>
          </w:p>
        </w:tc>
        <w:tc>
          <w:p w14:paraId="58ED73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逐项填报、异常转工单、补录审批、记录不可篡改</w:t>
            </w:r>
          </w:p>
        </w:tc>
        <w:tc>
          <w:p w14:paraId="38E96F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1B416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9324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FR-OMS-03</w:t>
            </w:r>
          </w:p>
        </w:tc>
        <w:tc>
          <w:p w14:paraId="3996BA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维修工单</w:t>
            </w:r>
          </w:p>
        </w:tc>
        <w:tc>
          <w:p w14:paraId="1AF3D5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运维管理</w:t>
            </w:r>
          </w:p>
        </w:tc>
        <w:tc>
          <w:p w14:paraId="3CCF315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3872A67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623B69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386095B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TASK-B-013</w:t>
            </w:r>
          </w:p>
        </w:tc>
        <w:tc>
          <w:p w14:paraId="5D5288E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TC-B-013</w:t>
            </w:r>
          </w:p>
        </w:tc>
        <w:tc>
          <w:p w14:paraId="4310B2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状态机闭环；报警自动生成；超期升级；时长统计</w:t>
            </w:r>
          </w:p>
        </w:tc>
        <w:tc>
          <w:p w14:paraId="7675E79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266C1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872EA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FR-OMS-04</w:t>
            </w:r>
          </w:p>
        </w:tc>
        <w:tc>
          <w:p w14:paraId="2E0643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值班排班、示例报告、巡检报警</w:t>
            </w:r>
          </w:p>
        </w:tc>
        <w:tc>
          <w:p w14:paraId="74EAB6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运维管理</w:t>
            </w:r>
          </w:p>
        </w:tc>
        <w:tc>
          <w:p w14:paraId="6CC3CEC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56C898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25F93C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6FC536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TASK-B-014</w:t>
            </w:r>
          </w:p>
        </w:tc>
        <w:tc>
          <w:p w14:paraId="4DFFA5C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TC-B-014</w:t>
            </w:r>
          </w:p>
        </w:tc>
        <w:tc>
          <w:p w14:paraId="539EBC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排班/交接班、报告模板、巡检异常入报警视图</w:t>
            </w:r>
          </w:p>
        </w:tc>
        <w:tc>
          <w:p w14:paraId="30669B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050E7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96F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FR-MAT-01</w:t>
            </w:r>
          </w:p>
        </w:tc>
        <w:tc>
          <w:p w14:paraId="7DA1D4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物品与危化品台账</w:t>
            </w:r>
          </w:p>
        </w:tc>
        <w:tc>
          <w:p w14:paraId="2D0FF47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物品管理</w:t>
            </w:r>
          </w:p>
        </w:tc>
        <w:tc>
          <w:p w14:paraId="524AD85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1D2FC4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06B95B8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6E76964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TASK-B-015</w:t>
            </w:r>
          </w:p>
        </w:tc>
        <w:tc>
          <w:p w14:paraId="12C8604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TC-B-015</w:t>
            </w:r>
          </w:p>
        </w:tc>
        <w:tc>
          <w:p w14:paraId="7B68EE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台账/MSDS/效期预警；超安全库存禁入</w:t>
            </w:r>
          </w:p>
        </w:tc>
        <w:tc>
          <w:p w14:paraId="05E1369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7C227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DFC6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FR-MAT-02</w:t>
            </w:r>
          </w:p>
        </w:tc>
        <w:tc>
          <w:p w14:paraId="12F05D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库存与出入库</w:t>
            </w:r>
          </w:p>
        </w:tc>
        <w:tc>
          <w:p w14:paraId="19BBB1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物品管理</w:t>
            </w:r>
          </w:p>
        </w:tc>
        <w:tc>
          <w:p w14:paraId="6E95877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0CF8E5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34BF32C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5BF31B2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TASK-B-016</w:t>
            </w:r>
          </w:p>
        </w:tc>
        <w:tc>
          <w:p w14:paraId="64E22AA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TC-B-016</w:t>
            </w:r>
          </w:p>
        </w:tc>
        <w:tc>
          <w:p w14:paraId="3AB2F6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流水结存、上下限预警、负库存策略生效</w:t>
            </w:r>
          </w:p>
        </w:tc>
        <w:tc>
          <w:p w14:paraId="53157A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19AB6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DFB9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FR-MAT-03</w:t>
            </w:r>
          </w:p>
        </w:tc>
        <w:tc>
          <w:p w14:paraId="52546A7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供应商、合同与附件</w:t>
            </w:r>
          </w:p>
        </w:tc>
        <w:tc>
          <w:p w14:paraId="0C009D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物品管理</w:t>
            </w:r>
          </w:p>
        </w:tc>
        <w:tc>
          <w:p w14:paraId="5876C96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3B32A6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14D340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12BF2F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TASK-B-017</w:t>
            </w:r>
          </w:p>
        </w:tc>
        <w:tc>
          <w:p w14:paraId="0154DF5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TC-B-017</w:t>
            </w:r>
          </w:p>
        </w:tc>
        <w:tc>
          <w:p w14:paraId="147983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资质/合同到期提醒；OSS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鉴权下载；过期冻结选用</w:t>
            </w:r>
          </w:p>
        </w:tc>
        <w:tc>
          <w:p w14:paraId="7C03D90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3E1C0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2E636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FR-QUO-01</w:t>
            </w:r>
          </w:p>
        </w:tc>
        <w:tc>
          <w:p w14:paraId="6F1DBF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能耗定额与考核</w:t>
            </w:r>
          </w:p>
        </w:tc>
        <w:tc>
          <w:p w14:paraId="4EF5F8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定额管理</w:t>
            </w:r>
          </w:p>
        </w:tc>
        <w:tc>
          <w:p w14:paraId="73273E8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5DC28F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基线、政策</w:t>
            </w:r>
          </w:p>
        </w:tc>
        <w:tc>
          <w:p w14:paraId="44625B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681A612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TASK-B-018</w:t>
            </w:r>
          </w:p>
        </w:tc>
        <w:tc>
          <w:p w14:paraId="5BB532E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TC-B-018</w:t>
            </w:r>
          </w:p>
        </w:tc>
        <w:tc>
          <w:p w14:paraId="114717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定额分解、对标、超耗标识；缺定额对象显式列出</w:t>
            </w:r>
          </w:p>
        </w:tc>
        <w:tc>
          <w:p w14:paraId="462EDE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760D0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A9EC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FR-CP-01</w:t>
            </w:r>
          </w:p>
        </w:tc>
        <w:tc>
          <w:p w14:paraId="7475E49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充电站/桩档案与商户品牌</w:t>
            </w:r>
          </w:p>
        </w:tc>
        <w:tc>
          <w:p w14:paraId="46B121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充电桩管理</w:t>
            </w:r>
          </w:p>
        </w:tc>
        <w:tc>
          <w:p w14:paraId="72C9D48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17A939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21C444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71B91B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TASK-B-019</w:t>
            </w:r>
          </w:p>
        </w:tc>
        <w:tc>
          <w:p w14:paraId="73AA38A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TC-B-019</w:t>
            </w:r>
          </w:p>
        </w:tc>
        <w:tc>
          <w:p w14:paraId="42DB59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站—桩—枪层级、商户品牌、离线判定告警</w:t>
            </w:r>
          </w:p>
        </w:tc>
        <w:tc>
          <w:p w14:paraId="667344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7362D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7A6F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FR-CP-02</w:t>
            </w:r>
          </w:p>
        </w:tc>
        <w:tc>
          <w:p w14:paraId="78615D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充电订单与价格策略</w:t>
            </w:r>
          </w:p>
        </w:tc>
        <w:tc>
          <w:p w14:paraId="14AA15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充电桩管理</w:t>
            </w:r>
          </w:p>
        </w:tc>
        <w:tc>
          <w:p w14:paraId="109F572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3F5266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42BD08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3081B37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TASK-B-020</w:t>
            </w:r>
          </w:p>
        </w:tc>
        <w:tc>
          <w:p w14:paraId="2D27F5C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TC-B-020</w:t>
            </w:r>
          </w:p>
        </w:tc>
        <w:tc>
          <w:p w14:paraId="55D4E8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分时计费正确、对账、异常订单入异常池</w:t>
            </w:r>
          </w:p>
        </w:tc>
        <w:tc>
          <w:p w14:paraId="3E6B40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36A2D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A68D3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FR-CP-03</w:t>
            </w:r>
          </w:p>
        </w:tc>
        <w:tc>
          <w:p w14:paraId="5EB3FA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充电仪表盘</w:t>
            </w:r>
          </w:p>
        </w:tc>
        <w:tc>
          <w:p w14:paraId="6E27C2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充电桩管理</w:t>
            </w:r>
          </w:p>
        </w:tc>
        <w:tc>
          <w:p w14:paraId="2A8826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3300E9A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00D63ED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414B95B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TASK-B-021</w:t>
            </w:r>
          </w:p>
        </w:tc>
        <w:tc>
          <w:p w14:paraId="1921B9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TC-B-021</w:t>
            </w:r>
          </w:p>
        </w:tc>
        <w:tc>
          <w:p w14:paraId="034807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站点地图/在线率/营收看板；坐标缺失列表降级</w:t>
            </w:r>
          </w:p>
        </w:tc>
        <w:tc>
          <w:p w14:paraId="6E33A7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22ED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38CBB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FR-CAR-01</w:t>
            </w:r>
          </w:p>
        </w:tc>
        <w:tc>
          <w:p w14:paraId="4DE014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碳排放核算与碳资产台账</w:t>
            </w:r>
          </w:p>
        </w:tc>
        <w:tc>
          <w:p w14:paraId="2BBF93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碳资产</w:t>
            </w:r>
          </w:p>
        </w:tc>
        <w:tc>
          <w:p w14:paraId="410F71A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6FC5AF7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基线、政策（双碳）</w:t>
            </w:r>
          </w:p>
        </w:tc>
        <w:tc>
          <w:p w14:paraId="6BA8C9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6E1F93B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TASK-B-022</w:t>
            </w:r>
          </w:p>
        </w:tc>
        <w:tc>
          <w:p w14:paraId="4AE0A16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TC-B-022</w:t>
            </w:r>
          </w:p>
        </w:tc>
        <w:tc>
          <w:p w14:paraId="53766D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按因子核算、资产台账、因子缺失标记未核算</w:t>
            </w:r>
          </w:p>
        </w:tc>
        <w:tc>
          <w:p w14:paraId="2DF1DC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71049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7544B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FR-VID-01</w:t>
            </w:r>
          </w:p>
        </w:tc>
        <w:tc>
          <w:p w14:paraId="73A2D3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视频接入与联动</w:t>
            </w:r>
          </w:p>
        </w:tc>
        <w:tc>
          <w:p w14:paraId="354D6F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视频监控</w:t>
            </w:r>
          </w:p>
        </w:tc>
        <w:tc>
          <w:p w14:paraId="758E305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5B8C02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5B4F02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docs/视频平台接入方案.md</w:t>
            </w:r>
          </w:p>
        </w:tc>
        <w:tc>
          <w:p w14:paraId="39F44C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TASK-B-023</w:t>
            </w:r>
          </w:p>
        </w:tc>
        <w:tc>
          <w:p w14:paraId="3F69EAB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TC-B-023</w:t>
            </w:r>
          </w:p>
        </w:tc>
        <w:tc>
          <w:p w14:paraId="68412E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预览/回放可嵌入；报警联动弹画面；取流失败不阻断业务</w:t>
            </w:r>
          </w:p>
        </w:tc>
        <w:tc>
          <w:p w14:paraId="2E23A1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5097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6662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FR-DQ-01</w:t>
            </w:r>
          </w:p>
        </w:tc>
        <w:tc>
          <w:p w14:paraId="275581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电力参数查询</w:t>
            </w:r>
          </w:p>
        </w:tc>
        <w:tc>
          <w:p w14:paraId="2567B7F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数据查询</w:t>
            </w:r>
          </w:p>
        </w:tc>
        <w:tc>
          <w:p w14:paraId="120356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67B87D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1F54A6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2DB502D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TASK-B-024</w:t>
            </w:r>
          </w:p>
        </w:tc>
        <w:tc>
          <w:p w14:paraId="793017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TC-B-024</w:t>
            </w:r>
          </w:p>
        </w:tc>
        <w:tc>
          <w:p w14:paraId="5484EF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多参数时间窗查询/导出；大范围异步导出</w:t>
            </w:r>
          </w:p>
        </w:tc>
        <w:tc>
          <w:p w14:paraId="67FE91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4ADC0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7C135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FR-MGT-01</w:t>
            </w:r>
          </w:p>
        </w:tc>
        <w:tc>
          <w:p w14:paraId="0281FE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标准/规章/预案/流程库</w:t>
            </w:r>
          </w:p>
        </w:tc>
        <w:tc>
          <w:p w14:paraId="36431B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管理体系</w:t>
            </w:r>
          </w:p>
        </w:tc>
        <w:tc>
          <w:p w14:paraId="203089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20886E6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基线、政策</w:t>
            </w:r>
          </w:p>
        </w:tc>
        <w:tc>
          <w:p w14:paraId="3F8BE0F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002164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TASK-B-025</w:t>
            </w:r>
          </w:p>
        </w:tc>
        <w:tc>
          <w:p w14:paraId="6586E4A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TC-B-025</w:t>
            </w:r>
          </w:p>
        </w:tc>
        <w:tc>
          <w:p w14:paraId="30BADC6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分类版本生效控制、全文检索、废止不可引用</w:t>
            </w:r>
          </w:p>
        </w:tc>
        <w:tc>
          <w:p w14:paraId="38D501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7C77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31925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FR-MET-01</w:t>
            </w:r>
          </w:p>
        </w:tc>
        <w:tc>
          <w:p w14:paraId="22975F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表计台账</w:t>
            </w:r>
          </w:p>
        </w:tc>
        <w:tc>
          <w:p w14:paraId="7318C8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计量管理</w:t>
            </w:r>
          </w:p>
        </w:tc>
        <w:tc>
          <w:p w14:paraId="2284840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0BD590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基线、政策（节能监察）</w:t>
            </w:r>
          </w:p>
        </w:tc>
        <w:tc>
          <w:p w14:paraId="5166E5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731DCF3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TASK-B-026</w:t>
            </w:r>
          </w:p>
        </w:tc>
        <w:tc>
          <w:p w14:paraId="3F20057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TC-B-026</w:t>
            </w:r>
          </w:p>
        </w:tc>
        <w:tc>
          <w:p w14:paraId="31EB3D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表计绑定、倍率变更留痕、在用表删除拦截</w:t>
            </w:r>
          </w:p>
        </w:tc>
        <w:tc>
          <w:p w14:paraId="186612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54A84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6F166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FR-MET-02</w:t>
            </w:r>
          </w:p>
        </w:tc>
        <w:tc>
          <w:p w14:paraId="19797E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检定计划与记录</w:t>
            </w:r>
          </w:p>
        </w:tc>
        <w:tc>
          <w:p w14:paraId="1DC6A3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计量管理</w:t>
            </w:r>
          </w:p>
        </w:tc>
        <w:tc>
          <w:p w14:paraId="02E4EF5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16AD97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基线、政策</w:t>
            </w:r>
          </w:p>
        </w:tc>
        <w:tc>
          <w:p w14:paraId="22CD08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2D85EA8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TASK-B-027</w:t>
            </w:r>
          </w:p>
        </w:tc>
        <w:tc>
          <w:p w14:paraId="38506B9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TC-B-027</w:t>
            </w:r>
          </w:p>
        </w:tc>
        <w:tc>
          <w:p w14:paraId="3582ED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周期计划、证书登记、超期数据打未检定标识</w:t>
            </w:r>
          </w:p>
        </w:tc>
        <w:tc>
          <w:p w14:paraId="64EA99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29203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AC86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FR-NEW-01</w:t>
            </w:r>
          </w:p>
        </w:tc>
        <w:tc>
          <w:p w14:paraId="1405DE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光伏/储能/微电网监测</w:t>
            </w:r>
          </w:p>
        </w:tc>
        <w:tc>
          <w:p w14:paraId="33938C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新能源</w:t>
            </w:r>
          </w:p>
        </w:tc>
        <w:tc>
          <w:p w14:paraId="331988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4057B2D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1FDFA40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64E03BE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TASK-B-028</w:t>
            </w:r>
          </w:p>
        </w:tc>
        <w:tc>
          <w:p w14:paraId="519C481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TC-B-028</w:t>
            </w:r>
          </w:p>
        </w:tc>
        <w:tc>
          <w:p w14:paraId="373F97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发电/SOC/并离网监视；中断转无数据报警</w:t>
            </w:r>
          </w:p>
        </w:tc>
        <w:tc>
          <w:p w14:paraId="273BEA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6BE1D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38F91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FR-NEW-02</w:t>
            </w:r>
          </w:p>
        </w:tc>
        <w:tc>
          <w:p w14:paraId="6B7DAB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虚拟电厂与统计</w:t>
            </w:r>
          </w:p>
        </w:tc>
        <w:tc>
          <w:p w14:paraId="2088D6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新能源</w:t>
            </w:r>
          </w:p>
        </w:tc>
        <w:tc>
          <w:p w14:paraId="2B5FA59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31E879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77F9FB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4DADB7B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TASK-B-029</w:t>
            </w:r>
          </w:p>
        </w:tc>
        <w:tc>
          <w:p w14:paraId="54A920E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TC-B-029</w:t>
            </w:r>
          </w:p>
        </w:tc>
        <w:tc>
          <w:p w14:paraId="5A50B7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资源注册、响应统计、不可用资源剔除</w:t>
            </w:r>
          </w:p>
        </w:tc>
        <w:tc>
          <w:p w14:paraId="1DCE1E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5AC6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FB66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FR-WAT-01</w:t>
            </w:r>
          </w:p>
        </w:tc>
        <w:tc>
          <w:p w14:paraId="70BDE81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水务监测与平衡</w:t>
            </w:r>
          </w:p>
        </w:tc>
        <w:tc>
          <w:p w14:paraId="62BD22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水务</w:t>
            </w:r>
          </w:p>
        </w:tc>
        <w:tc>
          <w:p w14:paraId="331A708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4A0E45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363C50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4C633B1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TASK-B-030</w:t>
            </w:r>
          </w:p>
        </w:tc>
        <w:tc>
          <w:p w14:paraId="22AA11C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TC-B-030</w:t>
            </w:r>
          </w:p>
        </w:tc>
        <w:tc>
          <w:p w14:paraId="218063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用水统计、水平衡、夜间最小流量异常提示</w:t>
            </w:r>
          </w:p>
        </w:tc>
        <w:tc>
          <w:p w14:paraId="2AF2C0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7BEF9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714D1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FR-DIS-01</w:t>
            </w:r>
          </w:p>
        </w:tc>
        <w:tc>
          <w:p w14:paraId="3882D9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负荷/需求/价格预测与天气</w:t>
            </w:r>
          </w:p>
        </w:tc>
        <w:tc>
          <w:p w14:paraId="534FD7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调度</w:t>
            </w:r>
          </w:p>
        </w:tc>
        <w:tc>
          <w:p w14:paraId="6618FC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5F3EE45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2B33E3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docs/第三阶段高级功能详细设计.md</w:t>
            </w:r>
          </w:p>
        </w:tc>
        <w:tc>
          <w:p w14:paraId="1F0F2E8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TASK-B-031</w:t>
            </w:r>
          </w:p>
        </w:tc>
        <w:tc>
          <w:p w14:paraId="484E02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TC-B-031</w:t>
            </w:r>
          </w:p>
        </w:tc>
        <w:tc>
          <w:p w14:paraId="695590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预测输出与回测；天气失败沿用上值并标注</w:t>
            </w:r>
          </w:p>
        </w:tc>
        <w:tc>
          <w:p w14:paraId="619F8E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483DF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7101B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FR-DIS-02</w:t>
            </w:r>
          </w:p>
        </w:tc>
        <w:tc>
          <w:p w14:paraId="177FE64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生产能源协同与优化方案</w:t>
            </w:r>
          </w:p>
        </w:tc>
        <w:tc>
          <w:p w14:paraId="555DF3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调度</w:t>
            </w:r>
          </w:p>
        </w:tc>
        <w:tc>
          <w:p w14:paraId="418E55A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7B9DE1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7FF845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docs/第三阶段高级功能详细设计.md</w:t>
            </w:r>
          </w:p>
        </w:tc>
        <w:tc>
          <w:p w14:paraId="37A1F16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TASK-B-032</w:t>
            </w:r>
          </w:p>
        </w:tc>
        <w:tc>
          <w:p w14:paraId="7AEED71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TC-B-032</w:t>
            </w:r>
          </w:p>
        </w:tc>
        <w:tc>
          <w:p w14:paraId="1E68736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方案人工确认后执行；数据不足禁出最优结论</w:t>
            </w:r>
          </w:p>
        </w:tc>
        <w:tc>
          <w:p w14:paraId="0D1642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08CD1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FE111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FR-DIS-03</w:t>
            </w:r>
          </w:p>
        </w:tc>
        <w:tc>
          <w:p w14:paraId="7619F0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网络节点/调度指令/评估/能源计划</w:t>
            </w:r>
          </w:p>
        </w:tc>
        <w:tc>
          <w:p w14:paraId="79DCAD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调度</w:t>
            </w:r>
          </w:p>
        </w:tc>
        <w:tc>
          <w:p w14:paraId="47FD67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3CF106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11AB82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docs/第三阶段高级功能详细设计.md</w:t>
            </w:r>
          </w:p>
        </w:tc>
        <w:tc>
          <w:p w14:paraId="34EE3D2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TASK-B-033</w:t>
            </w:r>
          </w:p>
        </w:tc>
        <w:tc>
          <w:p w14:paraId="1DC5BF7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TC-B-033</w:t>
            </w:r>
          </w:p>
        </w:tc>
        <w:tc>
          <w:p w14:paraId="534CD3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指令审批回执闭环、未回执催办、越权拦截审计</w:t>
            </w:r>
          </w:p>
        </w:tc>
        <w:tc>
          <w:p w14:paraId="4A5D0EA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01773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6C462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FR-DT-01</w:t>
            </w:r>
          </w:p>
        </w:tc>
        <w:tc>
          <w:p w14:paraId="5408EC0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3D </w:t>
            </w:r>
            <w:r>
              <w:rPr>
                <w:rFonts w:hint="eastAsia"/>
                <w:color w:val="auto"/>
              </w:rPr>
              <w:t>模型/孪生设备/能流</w:t>
            </w:r>
          </w:p>
        </w:tc>
        <w:tc>
          <w:p w14:paraId="070D18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数字孪生</w:t>
            </w:r>
          </w:p>
        </w:tc>
        <w:tc>
          <w:p w14:paraId="087296C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5488D7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56CC22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docs/第四阶段优化提升详细设计.md</w:t>
            </w:r>
          </w:p>
        </w:tc>
        <w:tc>
          <w:p w14:paraId="531EF6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TASK-B-034</w:t>
            </w:r>
          </w:p>
        </w:tc>
        <w:tc>
          <w:p w14:paraId="7BA226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TC-B-034</w:t>
            </w:r>
          </w:p>
        </w:tc>
        <w:tc>
          <w:p w14:paraId="325C2CA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模型加载、实时驱动、断连显示最后状态与时间戳</w:t>
            </w:r>
          </w:p>
        </w:tc>
        <w:tc>
          <w:p w14:paraId="69DACC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1BCF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9EB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FR-CC-01</w:t>
            </w:r>
          </w:p>
        </w:tc>
        <w:tc>
          <w:p w14:paraId="45656FD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多站点集中监控</w:t>
            </w:r>
          </w:p>
        </w:tc>
        <w:tc>
          <w:p w14:paraId="701911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集控</w:t>
            </w:r>
          </w:p>
        </w:tc>
        <w:tc>
          <w:p w14:paraId="36D4DF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705E6C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57C33E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0B328D4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TASK-B-035</w:t>
            </w:r>
          </w:p>
        </w:tc>
        <w:tc>
          <w:p w14:paraId="47B372C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TC-B-035</w:t>
            </w:r>
          </w:p>
        </w:tc>
        <w:tc>
          <w:p w14:paraId="7E5E3D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授权汇聚、跨站报警；单站故障不影响他站</w:t>
            </w:r>
          </w:p>
        </w:tc>
        <w:tc>
          <w:p w14:paraId="4C3B8C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0CE2C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FE9D5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FR-RPT-01</w:t>
            </w:r>
          </w:p>
        </w:tc>
        <w:tc>
          <w:p w14:paraId="22D0D4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报表引擎与模板</w:t>
            </w:r>
          </w:p>
        </w:tc>
        <w:tc>
          <w:p w14:paraId="15110A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报表引擎</w:t>
            </w:r>
          </w:p>
        </w:tc>
        <w:tc>
          <w:p w14:paraId="651D44A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3EE7AB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基线、P-06</w:t>
            </w:r>
          </w:p>
        </w:tc>
        <w:tc>
          <w:p w14:paraId="096401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2633E92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TASK-B-036</w:t>
            </w:r>
          </w:p>
        </w:tc>
        <w:tc>
          <w:p w14:paraId="35CE61E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TC-B-036</w:t>
            </w:r>
          </w:p>
        </w:tc>
        <w:tc>
          <w:p w14:paraId="109340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模板设计/定时生成/多格式导出/订阅推送；失败重试告警</w:t>
            </w:r>
          </w:p>
        </w:tc>
        <w:tc>
          <w:p w14:paraId="64D5B7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52128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349F3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FR-INT-01</w:t>
            </w:r>
          </w:p>
        </w:tc>
        <w:tc>
          <w:p w14:paraId="272C1D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集成接口与集成配置</w:t>
            </w:r>
          </w:p>
        </w:tc>
        <w:tc>
          <w:p w14:paraId="796BE5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系统集成与数据同步</w:t>
            </w:r>
          </w:p>
        </w:tc>
        <w:tc>
          <w:p w14:paraId="6B9D0CC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5C7C1B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5CA6BD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docs/技术文档/系统集成模块技术文档.md、docs/第三阶段_系统集成模块的功能设计和对接方案.md</w:t>
            </w:r>
          </w:p>
        </w:tc>
        <w:tc>
          <w:p w14:paraId="02BDAC6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TASK-B-037</w:t>
            </w:r>
          </w:p>
        </w:tc>
        <w:tc>
          <w:p w14:paraId="4329373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TC-B-037</w:t>
            </w:r>
          </w:p>
        </w:tc>
        <w:tc>
          <w:p w14:paraId="2DE5C7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接口配置/启停/连通性测试；凭证加密；错误分类明确</w:t>
            </w:r>
          </w:p>
        </w:tc>
        <w:tc>
          <w:p w14:paraId="26EA72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6D42E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CFFB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FR-INT-02</w:t>
            </w:r>
          </w:p>
        </w:tc>
        <w:tc>
          <w:p w14:paraId="38AC78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同步任务/执行/同步引擎</w:t>
            </w:r>
          </w:p>
        </w:tc>
        <w:tc>
          <w:p w14:paraId="11206D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系统集成与数据同步</w:t>
            </w:r>
          </w:p>
        </w:tc>
        <w:tc>
          <w:p w14:paraId="6CF145D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05EACA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1231E2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docs/技术文档/系统集成模块技术文档.md</w:t>
            </w:r>
          </w:p>
        </w:tc>
        <w:tc>
          <w:p w14:paraId="0C2849F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TASK-B-038</w:t>
            </w:r>
          </w:p>
        </w:tc>
        <w:tc>
          <w:p w14:paraId="344F689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TC-B-038</w:t>
            </w:r>
          </w:p>
        </w:tc>
        <w:tc>
          <w:p w14:paraId="4553DF4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幂等同步、失败可重跑、连续失败告警并停用危险任务</w:t>
            </w:r>
          </w:p>
        </w:tc>
        <w:tc>
          <w:p w14:paraId="51219A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5811F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FB90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FR-SYS-01</w:t>
            </w:r>
          </w:p>
        </w:tc>
        <w:tc>
          <w:p w14:paraId="33174F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用户/角色/权限</w:t>
            </w:r>
          </w:p>
        </w:tc>
        <w:tc>
          <w:p w14:paraId="004E9E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系统管理</w:t>
            </w:r>
          </w:p>
        </w:tc>
        <w:tc>
          <w:p w14:paraId="3641C61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3BCF6C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基线、CMP-01</w:t>
            </w:r>
          </w:p>
        </w:tc>
        <w:tc>
          <w:p w14:paraId="0F7F19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09D6AA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TASK-B-039</w:t>
            </w:r>
          </w:p>
        </w:tc>
        <w:tc>
          <w:p w14:paraId="27ACDA1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TC-B-039</w:t>
            </w:r>
          </w:p>
        </w:tc>
        <w:tc>
          <w:p w14:paraId="1B1400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三类权限+数据范围正确；JWT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会话；登录锁定；越权审计</w:t>
            </w:r>
          </w:p>
        </w:tc>
        <w:tc>
          <w:p w14:paraId="6A3F0BD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1F885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BEC1F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FR-SYS-02</w:t>
            </w:r>
          </w:p>
        </w:tc>
        <w:tc>
          <w:p w14:paraId="20A67C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字典/参数/组织机构</w:t>
            </w:r>
          </w:p>
        </w:tc>
        <w:tc>
          <w:p w14:paraId="669951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系统管理</w:t>
            </w:r>
          </w:p>
        </w:tc>
        <w:tc>
          <w:p w14:paraId="0CF6DA4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327FA9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</w:t>
            </w:r>
          </w:p>
        </w:tc>
        <w:tc>
          <w:p w14:paraId="3A88A9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3219CF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TASK-B-040</w:t>
            </w:r>
          </w:p>
        </w:tc>
        <w:tc>
          <w:p w14:paraId="29113A9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TC-B-040</w:t>
            </w:r>
          </w:p>
        </w:tc>
        <w:tc>
          <w:p w14:paraId="4CDAC6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字典参数维护留痕；被引用项停用不删；多语字典支持</w:t>
            </w:r>
          </w:p>
        </w:tc>
        <w:tc>
          <w:p w14:paraId="66D263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45CB7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B29E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FR-MON-01</w:t>
            </w:r>
          </w:p>
        </w:tc>
        <w:tc>
          <w:p w14:paraId="558AF2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运行监控与审计日志</w:t>
            </w:r>
          </w:p>
        </w:tc>
        <w:tc>
          <w:p w14:paraId="351B1E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系统监控</w:t>
            </w:r>
          </w:p>
        </w:tc>
        <w:tc>
          <w:p w14:paraId="42F9B7A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12EAFD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基线、CMP-01</w:t>
            </w:r>
          </w:p>
        </w:tc>
        <w:tc>
          <w:p w14:paraId="48A56A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docs/EMS产品设计文档.md</w:t>
            </w:r>
          </w:p>
        </w:tc>
        <w:tc>
          <w:p w14:paraId="67BCC0C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TASK-B-041</w:t>
            </w:r>
          </w:p>
        </w:tc>
        <w:tc>
          <w:p w14:paraId="319E21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TC-B-041</w:t>
            </w:r>
          </w:p>
        </w:tc>
        <w:tc>
          <w:p w14:paraId="537320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在线用户/任务监控；登录与操作审计只增不改、可检索</w:t>
            </w:r>
          </w:p>
        </w:tc>
        <w:tc>
          <w:p w14:paraId="41AA458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bookmarkEnd w:id="12"/>
    </w:tbl>
    <w:p w14:paraId="4F4B7F9C">
      <w:pPr>
        <w:pStyle w:val="5"/>
        <w:rPr>
          <w:color w:val="auto"/>
        </w:rPr>
      </w:pPr>
      <w:bookmarkStart w:id="13" w:name="非功能与合规需求"/>
      <w:r>
        <w:rPr>
          <w:color w:val="auto"/>
        </w:rPr>
        <w:t xml:space="preserve">4.3 </w:t>
      </w:r>
      <w:r>
        <w:rPr>
          <w:rFonts w:hint="eastAsia"/>
          <w:color w:val="auto"/>
        </w:rPr>
        <w:t>非功能与合规需求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</w:tblGrid>
      <w:tr w14:paraId="4E633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4574B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需求编号</w:t>
            </w:r>
          </w:p>
        </w:tc>
        <w:tc>
          <w:p w14:paraId="1FA3844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需求名称</w:t>
            </w:r>
          </w:p>
        </w:tc>
        <w:tc>
          <w:p w14:paraId="0F571C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所属模块</w:t>
            </w:r>
          </w:p>
        </w:tc>
        <w:tc>
          <w:p w14:paraId="1D778C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优先级</w:t>
            </w:r>
          </w:p>
        </w:tc>
        <w:tc>
          <w:p w14:paraId="3686A7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来源</w:t>
            </w:r>
          </w:p>
        </w:tc>
        <w:tc>
          <w:p w14:paraId="7A071CE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对应设计文档</w:t>
            </w:r>
          </w:p>
        </w:tc>
        <w:tc>
          <w:p w14:paraId="7EF2EA8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开发任务</w:t>
            </w:r>
          </w:p>
        </w:tc>
        <w:tc>
          <w:p w14:paraId="4400E7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测试用例编号</w:t>
            </w:r>
          </w:p>
        </w:tc>
        <w:tc>
          <w:p w14:paraId="2B6A848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验收标准</w:t>
            </w:r>
          </w:p>
        </w:tc>
        <w:tc>
          <w:p w14:paraId="504639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</w:t>
            </w:r>
          </w:p>
        </w:tc>
      </w:tr>
      <w:tr w14:paraId="75F99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3730B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NFR-PERF-01</w:t>
            </w:r>
          </w:p>
        </w:tc>
        <w:tc>
          <w:p w14:paraId="558908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回调吞吐</w:t>
            </w:r>
            <w:r>
              <w:rPr>
                <w:color w:val="auto"/>
              </w:rPr>
              <w:t xml:space="preserve"> ≥1000 TPS</w:t>
            </w:r>
          </w:p>
        </w:tc>
        <w:tc>
          <w:p w14:paraId="04385C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非功能/性能</w:t>
            </w:r>
          </w:p>
        </w:tc>
        <w:tc>
          <w:p w14:paraId="27F748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21A0A0A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SRC-02、调研指标</w:t>
            </w:r>
          </w:p>
        </w:tc>
        <w:tc>
          <w:p w14:paraId="65ADF2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待编制《医院性能设计与压测方案》（参见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docs/测试用例/性能测试计划.md）</w:t>
            </w:r>
          </w:p>
        </w:tc>
        <w:tc>
          <w:p w14:paraId="0BCCFE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TASK-H-101</w:t>
            </w:r>
          </w:p>
        </w:tc>
        <w:tc>
          <w:p w14:paraId="08F649C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TC-N-001</w:t>
            </w:r>
          </w:p>
        </w:tc>
        <w:tc>
          <w:p w14:paraId="409616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标准压测环境</w:t>
            </w:r>
            <w:r>
              <w:rPr>
                <w:color w:val="auto"/>
              </w:rPr>
              <w:t xml:space="preserve"> 1000TPS </w:t>
            </w:r>
            <w:r>
              <w:rPr>
                <w:rFonts w:hint="eastAsia"/>
                <w:color w:val="auto"/>
              </w:rPr>
              <w:t>持续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分钟无错无丢，2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倍峰值削峰不雪崩</w:t>
            </w:r>
          </w:p>
        </w:tc>
        <w:tc>
          <w:p w14:paraId="16B3E5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待测试</w:t>
            </w:r>
          </w:p>
        </w:tc>
      </w:tr>
      <w:tr w14:paraId="4453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FD4A3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NFR-PERF-02</w:t>
            </w:r>
          </w:p>
        </w:tc>
        <w:tc>
          <w:p w14:paraId="3C5FC56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普通查询</w:t>
            </w:r>
            <w:r>
              <w:rPr>
                <w:color w:val="auto"/>
              </w:rPr>
              <w:t xml:space="preserve"> P95 ≤1s</w:t>
            </w:r>
          </w:p>
        </w:tc>
        <w:tc>
          <w:p w14:paraId="4692F63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非功能/性能</w:t>
            </w:r>
          </w:p>
        </w:tc>
        <w:tc>
          <w:p w14:paraId="346C1DA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14D6D4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调研指标</w:t>
            </w:r>
          </w:p>
        </w:tc>
        <w:tc>
          <w:p w14:paraId="6E6938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数据库索引与缓存设计</w:t>
            </w:r>
          </w:p>
        </w:tc>
        <w:tc>
          <w:p w14:paraId="57B377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TASK-H-102</w:t>
            </w:r>
          </w:p>
        </w:tc>
        <w:tc>
          <w:p w14:paraId="03F3BBD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TC-N-002</w:t>
            </w:r>
          </w:p>
        </w:tc>
        <w:tc>
          <w:p w14:paraId="2DA807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标准数据规模下查询接口</w:t>
            </w:r>
            <w:r>
              <w:rPr>
                <w:color w:val="auto"/>
              </w:rPr>
              <w:t xml:space="preserve"> P95≤1s</w:t>
            </w:r>
          </w:p>
        </w:tc>
        <w:tc>
          <w:p w14:paraId="44E2CF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已基线</w:t>
            </w:r>
          </w:p>
        </w:tc>
      </w:tr>
      <w:tr w14:paraId="50109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A25F4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NFR-PERF-03</w:t>
            </w:r>
          </w:p>
        </w:tc>
        <w:tc>
          <w:p w14:paraId="2EA4D8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大屏首屏</w:t>
            </w:r>
            <w:r>
              <w:rPr>
                <w:color w:val="auto"/>
              </w:rPr>
              <w:t xml:space="preserve"> ≤3s</w:t>
            </w:r>
          </w:p>
        </w:tc>
        <w:tc>
          <w:p w14:paraId="4FFB1D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非功能/性能</w:t>
            </w:r>
          </w:p>
        </w:tc>
        <w:tc>
          <w:p w14:paraId="2555E7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74A2FF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SRC-10、调研指标</w:t>
            </w:r>
          </w:p>
        </w:tc>
        <w:tc>
          <w:p w14:paraId="6C7786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大屏预聚合与缓存设计</w:t>
            </w:r>
          </w:p>
        </w:tc>
        <w:tc>
          <w:p w14:paraId="0A4DAB9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TASK-H-103</w:t>
            </w:r>
          </w:p>
        </w:tc>
        <w:tc>
          <w:p w14:paraId="0DDA5B7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TC-N-003</w:t>
            </w:r>
          </w:p>
        </w:tc>
        <w:tc>
          <w:p w14:paraId="4E6AE0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1920×1080 </w:t>
            </w:r>
            <w:r>
              <w:rPr>
                <w:rFonts w:hint="eastAsia"/>
                <w:color w:val="auto"/>
              </w:rPr>
              <w:t>下首屏完整渲染≤3s</w:t>
            </w:r>
          </w:p>
        </w:tc>
        <w:tc>
          <w:p w14:paraId="75557D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待测试</w:t>
            </w:r>
          </w:p>
        </w:tc>
      </w:tr>
      <w:tr w14:paraId="22DFC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2E24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NFR-REL-01</w:t>
            </w:r>
          </w:p>
        </w:tc>
        <w:tc>
          <w:p w14:paraId="628441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核心链路可用性</w:t>
            </w:r>
            <w:r>
              <w:rPr>
                <w:color w:val="auto"/>
              </w:rPr>
              <w:t xml:space="preserve"> ≥99.9%</w:t>
            </w:r>
          </w:p>
        </w:tc>
        <w:tc>
          <w:p w14:paraId="3F6754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非功能/可靠性</w:t>
            </w:r>
          </w:p>
        </w:tc>
        <w:tc>
          <w:p w14:paraId="36CC2E3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3441A9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调研指标</w:t>
            </w:r>
          </w:p>
        </w:tc>
        <w:tc>
          <w:p w14:paraId="1792D9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待编制《医院高可用设计》</w:t>
            </w:r>
          </w:p>
        </w:tc>
        <w:tc>
          <w:p w14:paraId="43443E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TASK-H-104</w:t>
            </w:r>
          </w:p>
        </w:tc>
        <w:tc>
          <w:p w14:paraId="2DBD942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TC-N-004</w:t>
            </w:r>
          </w:p>
        </w:tc>
        <w:tc>
          <w:p w14:paraId="5BCC87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月度统计核心链路可用性≥99.9%；RTO≤30min、RPO≈0</w:t>
            </w:r>
          </w:p>
        </w:tc>
        <w:tc>
          <w:p w14:paraId="1A9AC2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待验证</w:t>
            </w:r>
          </w:p>
        </w:tc>
      </w:tr>
      <w:tr w14:paraId="00EF8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CD5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NFR-REL-02</w:t>
            </w:r>
          </w:p>
        </w:tc>
        <w:tc>
          <w:p w14:paraId="26A559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失败重试不丢数据</w:t>
            </w:r>
          </w:p>
        </w:tc>
        <w:tc>
          <w:p w14:paraId="0916CF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非功能/可靠性</w:t>
            </w:r>
          </w:p>
        </w:tc>
        <w:tc>
          <w:p w14:paraId="310C8EB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5D40D34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SRC-02、P-04</w:t>
            </w:r>
          </w:p>
        </w:tc>
        <w:tc>
          <w:p w14:paraId="0FFAFF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消息/死信/对账设计</w:t>
            </w:r>
          </w:p>
        </w:tc>
        <w:tc>
          <w:p w14:paraId="489E11A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TASK-H-105</w:t>
            </w:r>
          </w:p>
        </w:tc>
        <w:tc>
          <w:p w14:paraId="0F5A8F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TC-N-005</w:t>
            </w:r>
          </w:p>
        </w:tc>
        <w:tc>
          <w:p w14:paraId="75F028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多类故障注入演练零丢失、可重放、可对账</w:t>
            </w:r>
          </w:p>
        </w:tc>
        <w:tc>
          <w:p w14:paraId="0E43FF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待测试</w:t>
            </w:r>
          </w:p>
        </w:tc>
      </w:tr>
      <w:tr w14:paraId="35694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FE75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NFR-SEC-03</w:t>
            </w:r>
          </w:p>
        </w:tc>
        <w:tc>
          <w:p w14:paraId="3CF2AD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全链路</w:t>
            </w:r>
            <w:r>
              <w:rPr>
                <w:color w:val="auto"/>
              </w:rPr>
              <w:t xml:space="preserve"> HTTPS </w:t>
            </w:r>
            <w:r>
              <w:rPr>
                <w:rFonts w:hint="eastAsia"/>
                <w:color w:val="auto"/>
              </w:rPr>
              <w:t>与回调防伪</w:t>
            </w:r>
          </w:p>
        </w:tc>
        <w:tc>
          <w:p w14:paraId="025B98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非功能/安全</w:t>
            </w:r>
          </w:p>
        </w:tc>
        <w:tc>
          <w:p w14:paraId="37BA8A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1D3969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政策（等保）、P-03</w:t>
            </w:r>
          </w:p>
        </w:tc>
        <w:tc>
          <w:p w14:paraId="3788F4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docs/测试用例/安全测试计划.md</w:t>
            </w:r>
          </w:p>
        </w:tc>
        <w:tc>
          <w:p w14:paraId="194B780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TASK-H-106</w:t>
            </w:r>
          </w:p>
        </w:tc>
        <w:tc>
          <w:p w14:paraId="3944435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TC-N-006</w:t>
            </w:r>
          </w:p>
        </w:tc>
        <w:tc>
          <w:p w14:paraId="3F4A61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HTTPS </w:t>
            </w:r>
            <w:r>
              <w:rPr>
                <w:rFonts w:hint="eastAsia"/>
                <w:color w:val="auto"/>
              </w:rPr>
              <w:t>全覆盖；签名防篡改防重放；安全扫描无高危</w:t>
            </w:r>
          </w:p>
        </w:tc>
        <w:tc>
          <w:p w14:paraId="56706D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开发中</w:t>
            </w:r>
          </w:p>
        </w:tc>
      </w:tr>
      <w:tr w14:paraId="74C13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80906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CMP-04</w:t>
            </w:r>
          </w:p>
        </w:tc>
        <w:tc>
          <w:p w14:paraId="6AAEC13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GDPR </w:t>
            </w:r>
            <w:r>
              <w:rPr>
                <w:rFonts w:hint="eastAsia"/>
                <w:color w:val="auto"/>
              </w:rPr>
              <w:t>数据最小化与多院区合规</w:t>
            </w:r>
          </w:p>
        </w:tc>
        <w:tc>
          <w:p w14:paraId="32C392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合规/隐私</w:t>
            </w:r>
          </w:p>
        </w:tc>
        <w:tc>
          <w:p w14:paraId="1059EDF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219F40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SRC-11、政策（GDPR）</w:t>
            </w:r>
          </w:p>
        </w:tc>
        <w:tc>
          <w:p w14:paraId="1E96D3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待编制《海外合规与隐私设计》</w:t>
            </w:r>
          </w:p>
        </w:tc>
        <w:tc>
          <w:p w14:paraId="44469E7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TASK-H-107</w:t>
            </w:r>
          </w:p>
        </w:tc>
        <w:tc>
          <w:p w14:paraId="04AD692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TC-C-001</w:t>
            </w:r>
          </w:p>
        </w:tc>
        <w:tc>
          <w:p w14:paraId="508E27F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不采集患者信息；字段最小；留存周期可配；删除流程可执行留痕</w:t>
            </w:r>
          </w:p>
        </w:tc>
        <w:tc>
          <w:p w14:paraId="03D718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待开发</w:t>
            </w:r>
          </w:p>
        </w:tc>
      </w:tr>
    </w:tbl>
    <w:p w14:paraId="28E86519">
      <w:pPr>
        <w:pStyle w:val="13"/>
        <w:rPr>
          <w:color w:val="auto"/>
        </w:rPr>
      </w:pPr>
      <w:r>
        <w:rPr>
          <w:rFonts w:hint="eastAsia"/>
          <w:color w:val="auto"/>
        </w:rPr>
        <w:t>备注：表中”对应设计文档”标注”待编制”的，须在对应里程碑开发启动评审前完成并归档；既有基线设计文档以</w:t>
      </w:r>
      <w:r>
        <w:rPr>
          <w:color w:val="auto"/>
        </w:rPr>
        <w:t xml:space="preserve"> docs </w:t>
      </w:r>
      <w:r>
        <w:rPr>
          <w:rFonts w:hint="eastAsia"/>
          <w:color w:val="auto"/>
        </w:rPr>
        <w:t>目录实际版本为准。</w:t>
      </w:r>
    </w:p>
    <w:p w14:paraId="4698720C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77375B82">
      <w:pPr>
        <w:pStyle w:val="4"/>
        <w:rPr>
          <w:color w:val="auto"/>
        </w:rPr>
      </w:pPr>
      <w:bookmarkStart w:id="14" w:name="需求变更记录表"/>
      <w:r>
        <w:rPr>
          <w:color w:val="auto"/>
        </w:rPr>
        <w:t xml:space="preserve">5. </w:t>
      </w:r>
      <w:r>
        <w:rPr>
          <w:rFonts w:hint="eastAsia"/>
          <w:color w:val="auto"/>
        </w:rPr>
        <w:t>需求变更记录表</w:t>
      </w:r>
    </w:p>
    <w:p w14:paraId="72590BDC">
      <w:pPr>
        <w:pStyle w:val="23"/>
        <w:rPr>
          <w:color w:val="auto"/>
        </w:rPr>
      </w:pPr>
      <w:r>
        <w:rPr>
          <w:rFonts w:hint="eastAsia"/>
          <w:color w:val="auto"/>
        </w:rPr>
        <w:t>基线版本：V1.0（</w:t>
      </w:r>
      <w:r>
        <w:rPr>
          <w:rFonts w:hint="eastAsia"/>
          <w:color w:val="auto"/>
          <w:lang w:eastAsia="zh-CN"/>
        </w:rPr>
        <w:t>2025</w:t>
      </w:r>
      <w:r>
        <w:rPr>
          <w:rFonts w:hint="eastAsia"/>
          <w:color w:val="auto"/>
        </w:rPr>
        <w:t>-09-14）。基线后所有需求增删改均须登记。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 w14:paraId="38991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F357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变更编号</w:t>
            </w:r>
          </w:p>
        </w:tc>
        <w:tc>
          <w:p w14:paraId="4AFB96A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提出日期</w:t>
            </w:r>
          </w:p>
        </w:tc>
        <w:tc>
          <w:p w14:paraId="3E6618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提出人</w:t>
            </w:r>
          </w:p>
        </w:tc>
        <w:tc>
          <w:p w14:paraId="34231D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关联需求</w:t>
            </w:r>
          </w:p>
        </w:tc>
        <w:tc>
          <w:p w14:paraId="443794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变更类型</w:t>
            </w:r>
          </w:p>
        </w:tc>
        <w:tc>
          <w:p w14:paraId="4E16C33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变更内容摘要</w:t>
            </w:r>
          </w:p>
        </w:tc>
        <w:tc>
          <w:p w14:paraId="04174D7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影响分析（范围/进度/质量/合规）</w:t>
            </w:r>
          </w:p>
        </w:tc>
        <w:tc>
          <w:p w14:paraId="7DB3D9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评审结论</w:t>
            </w:r>
          </w:p>
        </w:tc>
        <w:tc>
          <w:p w14:paraId="1BC723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批准人</w:t>
            </w:r>
          </w:p>
        </w:tc>
        <w:tc>
          <w:p w14:paraId="1A4C74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生效版本</w:t>
            </w:r>
          </w:p>
        </w:tc>
        <w:tc>
          <w:p w14:paraId="411FA10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</w:t>
            </w:r>
          </w:p>
        </w:tc>
      </w:tr>
      <w:tr w14:paraId="6193F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7422C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CR-001</w:t>
            </w:r>
          </w:p>
        </w:tc>
        <w:tc>
          <w:p w14:paraId="203CDA0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71CFBC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03EE7E9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48BFA79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729978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暂无（V1.0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基线建立时无变更）</w:t>
            </w:r>
          </w:p>
        </w:tc>
        <w:tc>
          <w:p w14:paraId="07A532C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6F68DF2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7246B3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4C79083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4842672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</w:tbl>
    <w:p w14:paraId="6E98A918">
      <w:pPr>
        <w:pStyle w:val="13"/>
        <w:rPr>
          <w:color w:val="auto"/>
        </w:rPr>
      </w:pPr>
      <w:r>
        <w:rPr>
          <w:rFonts w:hint="eastAsia"/>
          <w:color w:val="auto"/>
        </w:rPr>
        <w:t>变更类型取值：新增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修改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删除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暂缓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优先级调整。流程：提出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影响分析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评审会签（涉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接口/数据口径/NFR/合规须升级评审）→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更新</w:t>
      </w:r>
      <w:r>
        <w:rPr>
          <w:color w:val="auto"/>
        </w:rPr>
        <w:t xml:space="preserve"> SRS </w:t>
      </w:r>
      <w:r>
        <w:rPr>
          <w:rFonts w:hint="eastAsia"/>
          <w:color w:val="auto"/>
        </w:rPr>
        <w:t>与本矩阵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通知干系人。</w:t>
      </w:r>
    </w:p>
    <w:bookmarkEnd w:id="14"/>
    <w:p w14:paraId="7918D9D3">
      <w:pPr>
        <w:pStyle w:val="4"/>
        <w:rPr>
          <w:color w:val="auto"/>
        </w:rPr>
      </w:pPr>
      <w:bookmarkStart w:id="15" w:name="维护责任与基线说明"/>
      <w:r>
        <w:rPr>
          <w:color w:val="auto"/>
        </w:rPr>
        <w:t xml:space="preserve">6. </w:t>
      </w:r>
      <w:r>
        <w:rPr>
          <w:rFonts w:hint="eastAsia"/>
          <w:color w:val="auto"/>
        </w:rPr>
        <w:t>维护责任与基线说明</w:t>
      </w:r>
    </w:p>
    <w:p w14:paraId="4429FFF0">
      <w:pPr>
        <w:pStyle w:val="5"/>
        <w:rPr>
          <w:color w:val="auto"/>
        </w:rPr>
      </w:pPr>
      <w:bookmarkStart w:id="16" w:name="维护责任"/>
      <w:r>
        <w:rPr>
          <w:color w:val="auto"/>
        </w:rPr>
        <w:t xml:space="preserve">6.1 </w:t>
      </w:r>
      <w:r>
        <w:rPr>
          <w:rFonts w:hint="eastAsia"/>
          <w:color w:val="auto"/>
        </w:rPr>
        <w:t>维护责任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45DA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C351BF">
            <w:pPr>
              <w:pStyle w:val="24"/>
              <w:rPr>
                <w:color w:val="auto"/>
              </w:rPr>
            </w:pPr>
            <w:bookmarkStart w:id="18" w:name="_GoBack"/>
            <w:r>
              <w:rPr>
                <w:rFonts w:hint="eastAsia"/>
                <w:color w:val="auto"/>
              </w:rPr>
              <w:t>角色</w:t>
            </w:r>
          </w:p>
        </w:tc>
        <w:tc>
          <w:p w14:paraId="22129D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责任</w:t>
            </w:r>
          </w:p>
        </w:tc>
      </w:tr>
      <w:tr w14:paraId="4593B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C36D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需求分析组（矩阵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Owner）</w:t>
            </w:r>
          </w:p>
        </w:tc>
        <w:tc>
          <w:p w14:paraId="10FA7F0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日常维护、状态更新、变更登记、版本发布；每周与任务看板/用例库对账一次</w:t>
            </w:r>
          </w:p>
        </w:tc>
      </w:tr>
      <w:tr w14:paraId="3B164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B7DD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产品负责人</w:t>
            </w:r>
          </w:p>
        </w:tc>
        <w:tc>
          <w:p w14:paraId="49BC25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基线建立与变更批准；P0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需求裁剪的最终审核</w:t>
            </w:r>
          </w:p>
        </w:tc>
      </w:tr>
      <w:tr w14:paraId="618B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A91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系统架构师</w:t>
            </w:r>
          </w:p>
        </w:tc>
        <w:tc>
          <w:p w14:paraId="4F5EDE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对”对应设计文档”列完整性负责；评估技术影响</w:t>
            </w:r>
          </w:p>
        </w:tc>
      </w:tr>
      <w:tr w14:paraId="1DB15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5484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开发负责人</w:t>
            </w:r>
          </w:p>
        </w:tc>
        <w:tc>
          <w:p w14:paraId="347BFB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回填开发任务编号与实现状态（开发中/待联调/待测试）</w:t>
            </w:r>
          </w:p>
        </w:tc>
      </w:tr>
      <w:tr w14:paraId="55607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86F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测试负责人</w:t>
            </w:r>
          </w:p>
        </w:tc>
        <w:tc>
          <w:p w14:paraId="7B097A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维护测试用例编号与验收结果；验收状态以测试结论为准</w:t>
            </w:r>
          </w:p>
        </w:tc>
      </w:tr>
      <w:tr w14:paraId="030BD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D510B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运维负责人</w:t>
            </w:r>
          </w:p>
        </w:tc>
        <w:tc>
          <w:p w14:paraId="10BDA6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涉及</w:t>
            </w:r>
            <w:r>
              <w:rPr>
                <w:color w:val="auto"/>
              </w:rPr>
              <w:t xml:space="preserve"> EI-02 </w:t>
            </w:r>
            <w:r>
              <w:rPr>
                <w:rFonts w:hint="eastAsia"/>
                <w:color w:val="auto"/>
              </w:rPr>
              <w:t>回调接口的契约变更会签与联调状态确认</w:t>
            </w:r>
          </w:p>
        </w:tc>
      </w:tr>
      <w:tr w14:paraId="22F90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EEBF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合规/法务接口人</w:t>
            </w:r>
          </w:p>
        </w:tc>
        <w:tc>
          <w:p w14:paraId="1504F80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CMP </w:t>
            </w:r>
            <w:r>
              <w:rPr>
                <w:rFonts w:hint="eastAsia"/>
                <w:color w:val="auto"/>
              </w:rPr>
              <w:t>类需求变更会签（GDPR、等保、数据留存）</w:t>
            </w:r>
          </w:p>
        </w:tc>
      </w:tr>
      <w:bookmarkEnd w:id="18"/>
      <w:bookmarkEnd w:id="16"/>
    </w:tbl>
    <w:p w14:paraId="172A18BA">
      <w:pPr>
        <w:pStyle w:val="5"/>
        <w:rPr>
          <w:color w:val="auto"/>
        </w:rPr>
      </w:pPr>
      <w:bookmarkStart w:id="17" w:name="基线说明"/>
      <w:r>
        <w:rPr>
          <w:color w:val="auto"/>
        </w:rPr>
        <w:t xml:space="preserve">6.2 </w:t>
      </w:r>
      <w:r>
        <w:rPr>
          <w:rFonts w:hint="eastAsia"/>
          <w:color w:val="auto"/>
        </w:rPr>
        <w:t>基线说明</w:t>
      </w:r>
    </w:p>
    <w:p w14:paraId="69233314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b/>
          <w:bCs/>
          <w:color w:val="auto"/>
        </w:rPr>
        <w:t>需求基线</w:t>
      </w:r>
      <w:r>
        <w:rPr>
          <w:b/>
          <w:bCs/>
          <w:color w:val="auto"/>
        </w:rPr>
        <w:t xml:space="preserve"> V1.0</w:t>
      </w:r>
      <w:r>
        <w:rPr>
          <w:rFonts w:hint="eastAsia"/>
          <w:color w:val="auto"/>
        </w:rPr>
        <w:t>：SRS</w:t>
      </w:r>
      <w:r>
        <w:rPr>
          <w:color w:val="auto"/>
        </w:rPr>
        <w:t xml:space="preserve"> V1.0 </w:t>
      </w:r>
      <w:r>
        <w:rPr>
          <w:rFonts w:hint="eastAsia"/>
          <w:color w:val="auto"/>
        </w:rPr>
        <w:t>与本矩阵</w:t>
      </w:r>
      <w:r>
        <w:rPr>
          <w:color w:val="auto"/>
        </w:rPr>
        <w:t xml:space="preserve"> V1.0 </w:t>
      </w:r>
      <w:r>
        <w:rPr>
          <w:rFonts w:hint="eastAsia"/>
          <w:color w:val="auto"/>
        </w:rPr>
        <w:t>于</w:t>
      </w:r>
      <w:r>
        <w:rPr>
          <w:color w:val="auto"/>
        </w:rPr>
        <w:t xml:space="preserve"> </w:t>
      </w:r>
      <w:r>
        <w:rPr>
          <w:rFonts w:hint="eastAsia"/>
          <w:color w:val="auto"/>
          <w:lang w:eastAsia="zh-CN"/>
        </w:rPr>
        <w:t>2025</w:t>
      </w:r>
      <w:r>
        <w:rPr>
          <w:color w:val="auto"/>
        </w:rPr>
        <w:t xml:space="preserve">-09-14 </w:t>
      </w:r>
      <w:r>
        <w:rPr>
          <w:rFonts w:hint="eastAsia"/>
          <w:color w:val="auto"/>
        </w:rPr>
        <w:t>评审通过后建立，包含</w:t>
      </w:r>
      <w:r>
        <w:rPr>
          <w:color w:val="auto"/>
        </w:rPr>
        <w:t xml:space="preserve"> 68 </w:t>
      </w:r>
      <w:r>
        <w:rPr>
          <w:rFonts w:hint="eastAsia"/>
          <w:color w:val="auto"/>
        </w:rPr>
        <w:t>条受控需求条目；</w:t>
      </w:r>
    </w:p>
    <w:p w14:paraId="3BABB8E9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基线后需求项的状态推进（待开发→开发中→待联调→待测试→已验收）不属于变更，但须在每周对账中更新；</w:t>
      </w:r>
    </w:p>
    <w:p w14:paraId="3078B217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仅当发生需求内容、优先级、验收标准、接口契约变化时才走第</w:t>
      </w:r>
      <w:r>
        <w:rPr>
          <w:color w:val="auto"/>
        </w:rPr>
        <w:t xml:space="preserve"> 5 </w:t>
      </w:r>
      <w:r>
        <w:rPr>
          <w:rFonts w:hint="eastAsia"/>
          <w:color w:val="auto"/>
        </w:rPr>
        <w:t>章变更流程并升级文档版本（V1.x）；</w:t>
      </w:r>
    </w:p>
    <w:p w14:paraId="58A400FE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里程碑交付门：M1~M4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每阶段结束时，以本矩阵对应需求”已验收”比例与</w:t>
      </w:r>
      <w:r>
        <w:rPr>
          <w:color w:val="auto"/>
        </w:rPr>
        <w:t xml:space="preserve"> P0 </w:t>
      </w:r>
      <w:r>
        <w:rPr>
          <w:rFonts w:hint="eastAsia"/>
          <w:color w:val="auto"/>
        </w:rPr>
        <w:t>清零情况作为准出条件；</w:t>
      </w:r>
    </w:p>
    <w:p w14:paraId="46026FED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本矩阵电子受控存放于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docs/01需求/01-03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需求跟踪矩阵.md</w:t>
      </w:r>
      <w:r>
        <w:rPr>
          <w:rFonts w:hint="eastAsia"/>
          <w:color w:val="auto"/>
        </w:rPr>
        <w:t>，纸质打印件非受控，以电子受控版本为准。</w:t>
      </w:r>
    </w:p>
    <w:bookmarkEnd w:id="0"/>
    <w:bookmarkEnd w:id="15"/>
    <w:bookmarkEnd w:id="1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1CC4E21"/>
    <w:rsid w:val="32831827"/>
    <w:rsid w:val="35FA5A2D"/>
    <w:rsid w:val="421F113C"/>
    <w:rsid w:val="466435C2"/>
    <w:rsid w:val="52C744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1960</Words>
  <Characters>2726</Characters>
  <Lines>12</Lines>
  <Paragraphs>8</Paragraphs>
  <TotalTime>8</TotalTime>
  <ScaleCrop>false</ScaleCrop>
  <LinksUpToDate>false</LinksUpToDate>
  <CharactersWithSpaces>2817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2026-09-28T02:42:49Z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2052-12.1.0.28488</vt:lpwstr>
  </property>
  <property fmtid="{D5CDD505-2E9C-101B-9397-08002B2CF9AE}" pid="4" name="ICV">
    <vt:lpwstr>38A7422DE5A1401093072A909A87E303_12</vt:lpwstr>
  </property>
</Properties>
</file>