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Child</w:t>
      </w:r>
      <w:r>
        <w:t xml:space="preserve"> </w:t>
      </w:r>
      <w:r>
        <w:t xml:space="preserve">Care</w:t>
      </w:r>
      <w:r>
        <w:t xml:space="preserve"> </w:t>
      </w:r>
      <w:r>
        <w:t xml:space="preserve">Policy,</w:t>
      </w:r>
      <w:r>
        <w:t xml:space="preserve"> </w:t>
      </w:r>
      <w:r>
        <w:t xml:space="preserve">Regulation</w:t>
      </w:r>
      <w:r>
        <w:t xml:space="preserve"> </w:t>
      </w:r>
      <w:r>
        <w:t xml:space="preserve">and</w:t>
      </w:r>
      <w:r>
        <w:t xml:space="preserve"> </w:t>
      </w:r>
      <w:r>
        <w:t xml:space="preserve">Funding</w:t>
      </w:r>
    </w:p>
    <w:p>
      <w:pPr>
        <w:pStyle w:val="Subtitle"/>
      </w:pPr>
      <w:r>
        <w:t xml:space="preserve">Executive</w:t>
      </w:r>
      <w:r>
        <w:t xml:space="preserve"> </w:t>
      </w:r>
      <w:r>
        <w:t xml:space="preserve">Summary</w:t>
      </w:r>
    </w:p>
    <w:p>
      <w:pPr>
        <w:pStyle w:val="Author"/>
      </w:pPr>
      <w:r>
        <w:t xml:space="preserve">A</w:t>
      </w:r>
      <w:r>
        <w:t xml:space="preserve"> </w:t>
      </w:r>
      <w:r>
        <w:t xml:space="preserve">Multi-State</w:t>
      </w:r>
      <w:r>
        <w:t xml:space="preserve"> </w:t>
      </w:r>
      <w:r>
        <w:t xml:space="preserve">Landscape</w:t>
      </w:r>
      <w:r>
        <w:t xml:space="preserve"> </w:t>
      </w:r>
      <w:r>
        <w:t xml:space="preserve">Assessment</w:t>
      </w:r>
      <w:r>
        <w:t xml:space="preserve"> </w:t>
      </w:r>
      <w:r>
        <w:t xml:space="preserve">for</w:t>
      </w:r>
      <w:r>
        <w:t xml:space="preserve"> </w:t>
      </w:r>
      <w:r>
        <w:t xml:space="preserve">Child</w:t>
      </w:r>
      <w:r>
        <w:t xml:space="preserve"> </w:t>
      </w:r>
      <w:r>
        <w:t xml:space="preserve">Development</w:t>
      </w:r>
      <w:r>
        <w:t xml:space="preserve"> </w:t>
      </w:r>
      <w:r>
        <w:t xml:space="preserve">Schools,</w:t>
      </w:r>
      <w:r>
        <w:t xml:space="preserve"> </w:t>
      </w:r>
      <w:r>
        <w:t xml:space="preserve">Inc. ·</w:t>
      </w:r>
      <w:r>
        <w:t xml:space="preserve"> </w:t>
      </w:r>
      <w:r>
        <w:t xml:space="preserve">Prepared</w:t>
      </w:r>
      <w:r>
        <w:t xml:space="preserve"> </w:t>
      </w:r>
      <w:r>
        <w:t xml:space="preserve">by</w:t>
      </w:r>
      <w:r>
        <w:t xml:space="preserve"> </w:t>
      </w:r>
      <w:r>
        <w:t xml:space="preserve">True</w:t>
      </w:r>
      <w:r>
        <w:t xml:space="preserve"> </w:t>
      </w:r>
      <w:r>
        <w:t xml:space="preserve">North</w:t>
      </w:r>
      <w:r>
        <w:t xml:space="preserve"> </w:t>
      </w:r>
      <w:r>
        <w:t xml:space="preserve">Strategies</w:t>
      </w:r>
    </w:p>
    <w:p>
      <w:pPr>
        <w:pStyle w:val="Date"/>
      </w:pPr>
      <w:r>
        <w:t xml:space="preserve">August</w:t>
      </w:r>
      <w:r>
        <w:t xml:space="preserve"> </w:t>
      </w:r>
      <w:r>
        <w:t xml:space="preserve">3,</w:t>
      </w:r>
      <w:r>
        <w:t xml:space="preserve"> </w:t>
      </w:r>
      <w:r>
        <w:t xml:space="preserve">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summary accompanies a full landscape assessment covering the federal framework and the eleven states in which Child Development Schools operates — approximately 267 centers across North Carolina, Georgia, Arizona, Texas, Florida, Arkansas, Oklahoma, Virginia, Alabama, Tennessee and Kentucky.</w:t>
      </w:r>
    </w:p>
    <w:bookmarkStart w:id="20" w:name="X5f4915077d198db33abfb43658d119736916a91"/>
    <w:p>
      <w:pPr>
        <w:pStyle w:val="Heading2"/>
      </w:pPr>
      <w:r>
        <w:t xml:space="preserve">The three facts that organize everything else</w:t>
      </w:r>
    </w:p>
    <w:p>
      <w:pPr>
        <w:pStyle w:val="FirstParagraph"/>
      </w:pPr>
      <w:r>
        <w:rPr>
          <w:bCs/>
          <w:b/>
        </w:rPr>
        <w:t xml:space="preserve">1. The federal floor beneath subsidy revenue was removed three weeks ago.</w:t>
      </w:r>
      <w:r>
        <w:t xml:space="preserve"> </w:t>
      </w:r>
      <w:r>
        <w:t xml:space="preserve">On May 12, 2026, the Administration for Children and Families published</w:t>
      </w:r>
      <w:r>
        <w:t xml:space="preserve"> </w:t>
      </w:r>
      <w:r>
        <w:rPr>
          <w:iCs/>
          <w:i/>
        </w:rPr>
        <w:t xml:space="preserve">Restoring Flexibility in the Child Care and Development Fund</w:t>
      </w:r>
      <w:r>
        <w:t xml:space="preserve"> </w:t>
      </w:r>
      <w:r>
        <w:t xml:space="preserve">(91 FR 25796), effective</w:t>
      </w:r>
      <w:r>
        <w:t xml:space="preserve"> </w:t>
      </w:r>
      <w:r>
        <w:rPr>
          <w:bCs/>
          <w:b/>
        </w:rPr>
        <w:t xml:space="preserve">July 13, 2026</w:t>
      </w:r>
      <w:r>
        <w:t xml:space="preserve">. It rescinded the four provider-facing mandates of the March 2024 CCDF rule: the seven percent family copayment cap, enrollment-based payment, prospective payment, and grants and contracts for underserved populations. States may keep any of them. None is required.</w:t>
      </w:r>
    </w:p>
    <w:p>
      <w:pPr>
        <w:pStyle w:val="BodyText"/>
      </w:pPr>
      <w:r>
        <w:t xml:space="preserve">Revenue predictability in the subsidy book is now an eleven-state monitoring problem rather than a single federal guarantee. Three states in the footprint pay on enrollment (Alabama, Kentucky, Texas); five pay on attendance (Arizona, Arkansas, Florida, Oklahoma, Virginia); and</w:t>
      </w:r>
      <w:r>
        <w:t xml:space="preserve"> </w:t>
      </w:r>
      <w:r>
        <w:rPr>
          <w:bCs/>
          <w:b/>
        </w:rPr>
        <w:t xml:space="preserve">three are unconfirmed and should be resolved this month — Georgia, North Carolina and Tennessee, which together account for 159 centers.</w:t>
      </w:r>
    </w:p>
    <w:p>
      <w:pPr>
        <w:pStyle w:val="BodyText"/>
      </w:pPr>
      <w:r>
        <w:t xml:space="preserve">The rulemaking record is the strategic tell: 1,244 comments, with the majority of unique comments opposing the rescissions and the majority of the seven state agencies that commented supporting them.</w:t>
      </w:r>
      <w:r>
        <w:t xml:space="preserve"> </w:t>
      </w:r>
      <w:r>
        <w:rPr>
          <w:bCs/>
          <w:b/>
        </w:rPr>
        <w:t xml:space="preserve">State administrators wanted this flexibility back.</w:t>
      </w:r>
      <w:r>
        <w:t xml:space="preserve"> </w:t>
      </w:r>
      <w:r>
        <w:t xml:space="preserve">Changes will therefore arrive through policy transmittals and state plan amendments rather than legislation, with correspondingly less notice. Missouri has already paused prospective payment and Washington has defunded enrollment-based payment. Both are fiscal-stress cases.</w:t>
      </w:r>
      <w:r>
        <w:t xml:space="preserve"> </w:t>
      </w:r>
      <w:r>
        <w:rPr>
          <w:bCs/>
          <w:b/>
        </w:rPr>
        <w:t xml:space="preserve">Prioritize monitoring by state fiscal condition, not political lean.</w:t>
      </w:r>
    </w:p>
    <w:p>
      <w:pPr>
        <w:pStyle w:val="BodyText"/>
      </w:pPr>
      <w:r>
        <w:rPr>
          <w:bCs/>
          <w:b/>
        </w:rPr>
        <w:t xml:space="preserve">2. Nine of the eleven states elect a governor on November 3, 2026, and in seven the incumbent is term-limited.</w:t>
      </w:r>
      <w:r>
        <w:t xml:space="preserve"> </w:t>
      </w:r>
      <w:r>
        <w:t xml:space="preserve">Committee assignments reset, agency heads serving at gubernatorial pleasure are in play, and the relationships that produced the last two years of favorable action do not automatically survive.</w:t>
      </w:r>
    </w:p>
    <w:p>
      <w:pPr>
        <w:pStyle w:val="BodyText"/>
      </w:pPr>
      <w:r>
        <w:t xml:space="preserve">Two departures matter most. In</w:t>
      </w:r>
      <w:r>
        <w:t xml:space="preserve"> </w:t>
      </w:r>
      <w:r>
        <w:rPr>
          <w:bCs/>
          <w:b/>
        </w:rPr>
        <w:t xml:space="preserve">Georgia</w:t>
      </w:r>
      <w:r>
        <w:t xml:space="preserve">, Lt. Gov. Burt Jones — architect of the state’s entire child care tax credit agenda — lost the Republican runoff on June 16, and no successor study committee exists. In</w:t>
      </w:r>
      <w:r>
        <w:t xml:space="preserve"> </w:t>
      </w:r>
      <w:r>
        <w:rPr>
          <w:bCs/>
          <w:b/>
        </w:rPr>
        <w:t xml:space="preserve">Alabama</w:t>
      </w:r>
      <w:r>
        <w:t xml:space="preserve">, twenty years of unbroken First Class Pre-K continuity has rested substantially on gubernatorial patronage, at exactly the moment the state’s child care tax credits approach a December 31, 2027 sunset.</w:t>
      </w:r>
    </w:p>
    <w:p>
      <w:pPr>
        <w:pStyle w:val="BodyText"/>
      </w:pPr>
      <w:r>
        <w:rPr>
          <w:bCs/>
          <w:b/>
        </w:rPr>
        <w:t xml:space="preserve">3. Direction of travel diverges sharply.</w:t>
      </w:r>
      <w:r>
        <w:t xml:space="preserve"> </w:t>
      </w:r>
      <w:r>
        <w:t xml:space="preserve">Virginia and North Carolina expanded materially. Kentucky and Tennessee deregulated without funding. Arizona, Oklahoma and Arkansas contracted. Georgia is split — Pre-K rising, subsidy cut to the lowest initial eligibility threshold in the country. Florida and Alabama held flat under rising cost.</w:t>
      </w:r>
      <w:r>
        <w:t xml:space="preserve"> </w:t>
      </w:r>
      <w:r>
        <w:rPr>
          <w:bCs/>
          <w:b/>
        </w:rPr>
        <w:t xml:space="preserve">A single national posture will not work.</w:t>
      </w:r>
    </w:p>
    <w:bookmarkEnd w:id="20"/>
    <w:bookmarkStart w:id="21" w:name="where-the-portfolio-concentration-sits"/>
    <w:p>
      <w:pPr>
        <w:pStyle w:val="Heading2"/>
      </w:pPr>
      <w:r>
        <w:t xml:space="preserve">Where the portfolio concentration sits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Centers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 Carolina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Georgia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Arizona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Florida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Arkansas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Oklahoma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Virginia, Alabama, Tennessee, Kentucky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7.1%</w:t>
            </w:r>
          </w:p>
        </w:tc>
      </w:tr>
    </w:tbl>
    <w:p>
      <w:pPr>
        <w:pStyle w:val="BodyText"/>
      </w:pPr>
      <w:r>
        <w:rPr>
          <w:bCs/>
          <w:b/>
        </w:rPr>
        <w:t xml:space="preserve">North Carolina and Georgia together are 57 percent of the portfolio, and both are among the three states where the post-rescission payment basis is unconfirmed.</w:t>
      </w:r>
    </w:p>
    <w:bookmarkEnd w:id="21"/>
    <w:bookmarkStart w:id="22" w:name="X956105656675826e6032d4bf6a1ffa429efd7f1"/>
    <w:p>
      <w:pPr>
        <w:pStyle w:val="Heading2"/>
      </w:pPr>
      <w:r>
        <w:t xml:space="preserve">The five findings that carry the most weight</w:t>
      </w:r>
    </w:p>
    <w:p>
      <w:pPr>
        <w:pStyle w:val="FirstParagraph"/>
      </w:pPr>
      <w:r>
        <w:rPr>
          <w:bCs/>
          <w:b/>
        </w:rPr>
        <w:t xml:space="preserve">Rates are stale in six of eleven states, and four of them have already published the evidence for an increase.</w:t>
      </w:r>
      <w:r>
        <w:t xml:space="preserve"> </w:t>
      </w:r>
      <w:r>
        <w:t xml:space="preserve">Alabama’s benchmark is nine years old; Kentucky’s five; Arizona’s four, with an unused 2024 survey sitting on the shelf; Virginia’s nearly four. The paired comparison that carries furthest is the wage floor against the public rate —</w:t>
      </w:r>
      <w:r>
        <w:t xml:space="preserve"> </w:t>
      </w:r>
      <w:r>
        <w:rPr>
          <w:bCs/>
          <w:b/>
        </w:rPr>
        <w:t xml:space="preserve">Florida is the cleanest case, with the minimum wage rising 25 percent from September 2022 to September 2026 while the VPK base student allocation moved from $3,029 to $3,029.</w:t>
      </w:r>
      <w:r>
        <w:t xml:space="preserve"> </w:t>
      </w:r>
      <w:r>
        <w:t xml:space="preserve">Two methodological shifts are worth more than any single rate increase: the cost-estimation provision in the pending federal reauthorization, and the state equivalents already in motion in Virginia, Kentucky and Georgia.</w:t>
      </w:r>
    </w:p>
    <w:p>
      <w:pPr>
        <w:pStyle w:val="BodyText"/>
      </w:pPr>
      <w:r>
        <w:rPr>
          <w:bCs/>
          <w:b/>
        </w:rPr>
        <w:t xml:space="preserve">Mixed-delivery pre-K is the largest revenue opportunity and it is unevenly harvested.</w:t>
      </w:r>
      <w:r>
        <w:t xml:space="preserve"> </w:t>
      </w:r>
      <w:r>
        <w:t xml:space="preserve">The position is strong in Georgia (roughly half of a $594 million programme runs through private providers) and Florida (private providers are 77 percent of the VPK delivery system). It is weak relative to the opportunity in</w:t>
      </w:r>
      <w:r>
        <w:t xml:space="preserve"> </w:t>
      </w:r>
      <w:r>
        <w:rPr>
          <w:bCs/>
          <w:b/>
        </w:rPr>
        <w:t xml:space="preserve">Alabama</w:t>
      </w:r>
      <w:r>
        <w:t xml:space="preserve"> </w:t>
      </w:r>
      <w:r>
        <w:t xml:space="preserve">— $84,804 to $97,908 per classroom plus up to $125,000 setup, in the highest-quality state pre-K programme in the country, with 4,100 children waitlisted and 229 classrooms needed against barriers an established operator already solves — and in</w:t>
      </w:r>
      <w:r>
        <w:t xml:space="preserve"> </w:t>
      </w:r>
      <w:r>
        <w:rPr>
          <w:bCs/>
          <w:b/>
        </w:rPr>
        <w:t xml:space="preserve">Virginia</w:t>
      </w:r>
      <w:r>
        <w:t xml:space="preserve">, whose Mixed Delivery Grant Program is reserved for licensed private providers, contract-based, cost-based, priced at $19,441 a slot, and running at roughly twice oversubscription.</w:t>
      </w:r>
    </w:p>
    <w:p>
      <w:pPr>
        <w:pStyle w:val="BodyText"/>
      </w:pPr>
      <w:r>
        <w:rPr>
          <w:bCs/>
          <w:b/>
        </w:rPr>
        <w:t xml:space="preserve">Quality ratings have decoupled from money in three states, and the response has to be state-specific.</w:t>
      </w:r>
      <w:r>
        <w:t xml:space="preserve"> </w:t>
      </w:r>
      <w:r>
        <w:t xml:space="preserve">Tennessee cut its quality bonus so far that a top-scoring provider gained 0.8 percent while an unrated provider gained the full ten. Arkansas collapsed its tiers so only two of four advancement steps move the rate.</w:t>
      </w:r>
      <w:r>
        <w:t xml:space="preserve"> </w:t>
      </w:r>
      <w:r>
        <w:rPr>
          <w:bCs/>
          <w:b/>
        </w:rPr>
        <w:t xml:space="preserve">North Carolina has a directed study of decoupling star ratings from reimbursement entirely — in the largest state position in the portfolio.</w:t>
      </w:r>
      <w:r>
        <w:t xml:space="preserve"> </w:t>
      </w:r>
      <w:r>
        <w:t xml:space="preserve">Where the link survives it is steep: Oklahoma’s two-to-three-star step raises the infant daily rate 67 percent.</w:t>
      </w:r>
    </w:p>
    <w:p>
      <w:pPr>
        <w:pStyle w:val="BodyText"/>
      </w:pPr>
      <w:r>
        <w:rPr>
          <w:bCs/>
          <w:b/>
        </w:rPr>
        <w:t xml:space="preserve">The employer channel is the one clearly expanding revenue line, and the reason is tax law rather than appropriations.</w:t>
      </w:r>
      <w:r>
        <w:t xml:space="preserve"> </w:t>
      </w:r>
      <w:r>
        <w:t xml:space="preserve">The 2025 federal reconciliation law raised the §45F credit to 40 and 50 percent with caps of $500,000 and $600,000, and — structurally most important —</w:t>
      </w:r>
      <w:r>
        <w:t xml:space="preserve"> </w:t>
      </w:r>
      <w:r>
        <w:rPr>
          <w:bCs/>
          <w:b/>
        </w:rPr>
        <w:t xml:space="preserve">for the first time permits a qualified facility to be jointly owned or operated by the taxpayer and other persons.</w:t>
      </w:r>
      <w:r>
        <w:t xml:space="preserve"> </w:t>
      </w:r>
      <w:r>
        <w:t xml:space="preserve">Five states layer programmes on top, with Georgia offering the strongest stack. In Arizona this channel is specifically insulated from a subsidy waitlist that has grown 575 percent in twenty-four months.</w:t>
      </w:r>
    </w:p>
    <w:p>
      <w:pPr>
        <w:pStyle w:val="BodyText"/>
      </w:pPr>
      <w:r>
        <w:rPr>
          <w:bCs/>
          <w:b/>
        </w:rPr>
        <w:t xml:space="preserve">Zoning and siting is the least developed policy area, and three states have just opened the door</w:t>
      </w:r>
      <w:r>
        <w:t xml:space="preserve"> </w:t>
      </w:r>
      <w:r>
        <w:t xml:space="preserve">— Tennessee’s Public Chapter 980 amending local planning and zoning law, Virginia’s Commission recommending zoning and licensing simplification on the record, and Arkansas’s foundation-backed report proposing</w:t>
      </w:r>
      <w:r>
        <w:t xml:space="preserve"> </w:t>
      </w:r>
      <w:r>
        <w:t xml:space="preserve">“</w:t>
      </w:r>
      <w:r>
        <w:t xml:space="preserve">Child Care Zones.</w:t>
      </w:r>
      <w:r>
        <w:t xml:space="preserve">”</w:t>
      </w:r>
      <w:r>
        <w:t xml:space="preserve"> </w:t>
      </w:r>
      <w:r>
        <w:t xml:space="preserve">Georgia, at 28.5 percent of the portfolio, has no state-level provision at all.</w:t>
      </w:r>
    </w:p>
    <w:bookmarkEnd w:id="22"/>
    <w:bookmarkStart w:id="23" w:name="X3155c29b275b40a969e3b21d9726a06e0c2dcc9"/>
    <w:p>
      <w:pPr>
        <w:pStyle w:val="Heading2"/>
      </w:pPr>
      <w:r>
        <w:t xml:space="preserve">What requires attention in the next ninety days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This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Virginia’s 8VAC20-781 effective date, grace period and</w:t>
            </w:r>
            <w:r>
              <w:t xml:space="preserve"> </w:t>
            </w:r>
            <w:r>
              <w:rPr>
                <w:bCs/>
                <w:b/>
              </w:rPr>
              <w:t xml:space="preserve">whether existing variances expire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August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Arizona’s 24-hour annual training compliance deadline — audit records at all 30 sites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August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subsidy payment basis in Georgia, North Carolina and Tennessee — 159 centers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August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Florida Rule 6M-4.500 and the July 31 plan amendment to confirm payment 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Aug–Sept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Arkansas: the sustainability package expires September 30 with no successor and no session until January.</w:t>
            </w:r>
            <w:r>
              <w:t xml:space="preserve"> </w:t>
            </w:r>
            <w:r>
              <w:t xml:space="preserve">Model a 10–20% rate 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August recess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Congressional center visits, including in the districts of the House Labor-HHS and House Appropriations chairs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September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North Carolina’s county-by-county rate floor impact before October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October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Kentucky All STARS modernisation plan filed; Virginia Commission report — shape both before filing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December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Texas Governor’s Task Force report; Kentucky ECCAP administrator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January 5, 2027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Alabama tax credit reservation window — first-come, first-served, largest pools ever, last under current law</w:t>
            </w:r>
          </w:p>
        </w:tc>
      </w:tr>
    </w:tbl>
    <w:bookmarkEnd w:id="23"/>
    <w:bookmarkStart w:id="24" w:name="on-sourcing"/>
    <w:p>
      <w:pPr>
        <w:pStyle w:val="Heading2"/>
      </w:pPr>
      <w:r>
        <w:t xml:space="preserve">On sourcing</w:t>
      </w:r>
    </w:p>
    <w:p>
      <w:pPr>
        <w:pStyle w:val="FirstParagraph"/>
      </w:pPr>
      <w:r>
        <w:t xml:space="preserve">Every factual assertion in the full report is drawn from a primary or authoritative source retrieved on August 3, 2026 — state administrative codes, legislative bill records, enacted appropriations acts, agency policy manuals, the Federal Register and statutory reports to legislatures. Nothing time-sensitive is drawn from general knowledge.</w:t>
      </w:r>
    </w:p>
    <w:p>
      <w:pPr>
        <w:pStyle w:val="BodyText"/>
      </w:pPr>
      <w:r>
        <w:t xml:space="preserve">Where a fact could not be verified, it is marked</w:t>
      </w:r>
      <w:r>
        <w:t xml:space="preserve"> </w:t>
      </w:r>
      <w:r>
        <w:rPr>
          <w:bCs/>
          <w:b/>
        </w:rPr>
        <w:t xml:space="preserve">[unconfirmed]</w:t>
      </w:r>
      <w:r>
        <w:t xml:space="preserve"> </w:t>
      </w:r>
      <w:r>
        <w:t xml:space="preserve">rather than estimated. Those marks are deliberate: in a document supporting operating and advocacy decisions, a flagged gap is more useful than a confident guess. The full report consolidates every open item by priority, with the retrieval route for each. All are closable — most by a records request, a portal login or a telephone call.</w:t>
      </w:r>
    </w:p>
    <w:p>
      <w:pPr>
        <w:pStyle w:val="BodyText"/>
      </w:pPr>
      <w:r>
        <w:t xml:space="preserve">Three claims in wide circulation are inaccurate and should not be relied upon: there is</w:t>
      </w:r>
      <w:r>
        <w:t xml:space="preserve"> </w:t>
      </w:r>
      <w:r>
        <w:rPr>
          <w:bCs/>
          <w:b/>
        </w:rPr>
        <w:t xml:space="preserve">no Arkansas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Act 1435</w:t>
      </w:r>
      <w:r>
        <w:rPr>
          <w:bCs/>
          <w:b/>
        </w:rPr>
        <w:t xml:space="preserve">”</w:t>
      </w:r>
      <w:r>
        <w:t xml:space="preserve"> </w:t>
      </w:r>
      <w:r>
        <w:t xml:space="preserve">employer child care credit (HB1435 died in committee on May 5, 2025); there is</w:t>
      </w:r>
      <w:r>
        <w:t xml:space="preserve"> </w:t>
      </w:r>
      <w:r>
        <w:rPr>
          <w:bCs/>
          <w:b/>
        </w:rPr>
        <w:t xml:space="preserve">no Tennessee employer child care credit</w:t>
      </w:r>
      <w:r>
        <w:t xml:space="preserve"> </w:t>
      </w:r>
      <w:r>
        <w:t xml:space="preserve">(the Department of Revenue’s published credit list contains none); and</w:t>
      </w:r>
      <w:r>
        <w:t xml:space="preserve"> </w:t>
      </w:r>
      <w:r>
        <w:rPr>
          <w:bCs/>
          <w:b/>
        </w:rPr>
        <w:t xml:space="preserve">Florida child care licensing did not move to the Department of Education</w:t>
      </w:r>
      <w:r>
        <w:t xml:space="preserve"> </w:t>
      </w:r>
      <w:r>
        <w:t xml:space="preserve">— it remains with the Department of Children and Families, with four counties operating their own licensing agencies.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hAnsi="Calibri"/>
      <w:szCs w:val="20"/>
      <w:sz w:val="20"/>
    </w:rPr>
  </w:style>
  <w:style w:styleId="BodyText" w:type="paragraph">
    <w:name w:val="Body Text"/>
    <w:basedOn w:val="Normal"/>
    <w:link w:val="BodyTextChar"/>
    <w:pPr>
      <w:spacing w:after="140" w:before="0"/>
    </w:pPr>
    <w:qFormat/>
    <w:rPr>
      <w:rFonts w:ascii="Calibri" w:cs="Calibri" w:hAnsi="Calibri"/>
      <w:szCs w:val="20"/>
      <w:sz w:val="20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hAnsi="Calibri"/>
      <w:szCs w:val="20"/>
      <w:sz w:val="20"/>
    </w:rPr>
  </w:style>
  <w:style w:styleId="Title" w:type="paragraph">
    <w:name w:val="Title"/>
    <w:basedOn w:val="Normal"/>
    <w:next w:val="BodyText"/>
    <w:qFormat/>
    <w:pPr>
      <w:spacing w:after="240" w:before="0"/>
      <w:keepNext/>
      <w:keepLines/>
      <w:jc w:val="center"/>
    </w:pPr>
    <w:rPr>
      <w:b/>
      <w:rFonts w:ascii="Georgia" w:cs="Georgia" w:hAnsi="Georgia"/>
      <w:szCs w:val="52"/>
      <w:sz w:val="52"/>
      <w:color w:val="14284B"/>
      <w:b/>
      <w:bCs/>
    </w:rPr>
  </w:style>
  <w:style w:styleId="Subtitle" w:type="paragraph">
    <w:name w:val="Subtitle"/>
    <w:basedOn w:val="Title"/>
    <w:next w:val="BodyText"/>
    <w:qFormat/>
    <w:pPr>
      <w:spacing w:after="360" w:before="0"/>
      <w:keepNext/>
      <w:keepLines/>
      <w:jc w:val="center"/>
    </w:pPr>
    <w:rPr>
      <w:b/>
      <w:rFonts w:ascii="Calibri" w:cs="Calibri" w:hAnsi="Calibri"/>
      <w:caps/>
      <w:szCs w:val="28"/>
      <w:sz w:val="28"/>
      <w:color w:val="B08D2E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cs="Calibri" w:hAnsi="Calibri"/>
      <w:szCs w:val="22"/>
      <w:sz w:val="22"/>
      <w:color w:val="3E4A5B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cs="Calibri" w:hAnsi="Calibri"/>
      <w:szCs w:val="22"/>
      <w:sz w:val="22"/>
      <w:color w:val="3E4A5B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spacing w:after="180" w:before="400"/>
      <w:keepNext/>
      <w:keepLines/>
      <w:outlineLvl w:val="0"/>
    </w:pPr>
    <w:rPr>
      <w:b/>
      <w:rFonts w:ascii="Georgia" w:cs="Georgia" w:hAnsi="Georgia"/>
      <w:szCs w:val="32"/>
      <w:sz w:val="32"/>
      <w:color w:val="14284B"/>
      <w:b/>
      <w:bCs/>
    </w:rPr>
  </w:style>
  <w:style w:styleId="Heading2" w:type="paragraph">
    <w:name w:val="Heading 2"/>
    <w:basedOn w:val="Normal"/>
    <w:next w:val="BodyText"/>
    <w:uiPriority w:val="9"/>
    <w:unhideWhenUsed/>
    <w:qFormat/>
    <w:pPr>
      <w:spacing w:after="140" w:before="320"/>
      <w:keepNext/>
      <w:keepLines/>
      <w:outlineLvl w:val="1"/>
    </w:pPr>
    <w:rPr>
      <w:b/>
      <w:rFonts w:ascii="Georgia" w:cs="Georgia" w:hAnsi="Georgia"/>
      <w:szCs w:val="26"/>
      <w:sz w:val="26"/>
      <w:color w:val="14284B"/>
      <w:b/>
      <w:bCs/>
    </w:rPr>
  </w:style>
  <w:style w:styleId="Heading3" w:type="paragraph">
    <w:name w:val="Heading 3"/>
    <w:basedOn w:val="Normal"/>
    <w:next w:val="BodyText"/>
    <w:uiPriority w:val="9"/>
    <w:unhideWhenUsed/>
    <w:qFormat/>
    <w:pPr>
      <w:spacing w:after="120" w:before="260"/>
      <w:keepNext/>
      <w:keepLines/>
      <w:outlineLvl w:val="2"/>
    </w:pPr>
    <w:rPr>
      <w:b/>
      <w:rFonts w:ascii="Calibri" w:cs="Calibri" w:hAnsi="Calibri"/>
      <w:szCs w:val="23"/>
      <w:sz w:val="23"/>
      <w:color w:val="B08D2E"/>
      <w:b/>
      <w:bCs/>
    </w:rPr>
  </w:style>
  <w:style w:styleId="Heading4" w:type="paragraph">
    <w:name w:val="Heading 4"/>
    <w:basedOn w:val="Normal"/>
    <w:next w:val="BodyText"/>
    <w:uiPriority w:val="9"/>
    <w:unhideWhenUsed/>
    <w:qFormat/>
    <w:pPr>
      <w:spacing w:after="100" w:before="220"/>
      <w:keepNext/>
      <w:keepLines/>
      <w:outlineLvl w:val="3"/>
    </w:pPr>
    <w:rPr>
      <w:b/>
      <w:rFonts w:ascii="Calibri" w:cs="Calibri" w:hAnsi="Calibri"/>
      <w:szCs w:val="21"/>
      <w:sz w:val="21"/>
      <w:color w:val="3E4A5B"/>
      <w:i/>
      <w:bCs/>
    </w:rPr>
  </w:style>
  <w:style w:styleId="Heading5" w:type="paragraph">
    <w:name w:val="Heading 5"/>
    <w:basedOn w:val="Normal"/>
    <w:next w:val="BodyText"/>
    <w:uiPriority w:val="9"/>
    <w:unhideWhenUsed/>
    <w:qFormat/>
    <w:pPr>
      <w:spacing w:after="90" w:before="200"/>
      <w:keepNext/>
      <w:keepLines/>
      <w:outlineLvl w:val="4"/>
    </w:pPr>
    <w:rPr>
      <w:b/>
      <w:rFonts w:ascii="Calibri" w:cs="Calibri" w:hAnsi="Calibri"/>
      <w:szCs w:val="20"/>
      <w:sz w:val="20"/>
      <w:color w:val="3E4A5B"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hAnsi="Calibri"/>
      <w:szCs w:val="20"/>
      <w:sz w:val="20"/>
      <w:color w:val="14284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0"/>
    <w:pPr>
      <w:spacing w:after="40" w:before="40"/>
    </w:pPr>
    <w:rPr>
      <w:rFonts w:ascii="Calibri" w:hAnsi="Calibri"/>
      <w:sz w:val="18"/>
      <w:szCs w:val="18"/>
    </w:rPr>
    <w:tblPr>
      <w:tblBorders>
        <w:top w:color="C9D0DA" w:space="0" w:sz="4" w:val="single"/>
        <w:bottom w:color="C9D0DA" w:space="0" w:sz="4" w:val="single"/>
        <w:insideH w:color="DDE2EA" w:space="0" w:sz="4" w:val="single"/>
      </w:tblBorders>
      <w:tblCellMar>
        <w:top w:type="dxa" w:w="60"/>
        <w:left w:type="dxa" w:w="90"/>
        <w:bottom w:type="dxa" w:w="60"/>
        <w:right w:type="dxa" w:w="90"/>
      </w:tblCellMar>
    </w:tblPr>
    <w:tblStylePr w:type="firstRow">
      <w:rPr>
        <w:b/>
        <w:color w:val="FFFFFF"/>
        <w:sz w:val="18"/>
      </w:rPr>
      <w:tcPr>
        <w:shd w:color="auto" w:fill="14284B" w:val="clear"/>
      </w:tcPr>
    </w:tblStylePr>
    <w:tblStylePr w:type="band2Horz">
      <w:tcPr>
        <w:shd w:color="auto" w:fill="F2F5F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F5FA9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/>
      <w:rFonts w:ascii="Georgia" w:cs="Georgia" w:hAnsi="Georgia"/>
      <w:szCs w:val="30"/>
      <w:sz w:val="30"/>
      <w:color w:val="14284B"/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Child Care Policy, Regulation and Funding</dc:title>
  <dc:creator>A Multi-State Landscape Assessment for Child Development Schools, Inc. · Prepared by True North Strategies</dc:creator>
  <cp:keywords/>
  <dcterms:created xsi:type="dcterms:W3CDTF">2026-08-03T22:30:12Z</dcterms:created>
  <dcterms:modified xsi:type="dcterms:W3CDTF">2026-08-03T22:30:12Z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August 3, 2026</vt:lpwstr>
  </property>
  <property fmtid="{D5CDD505-2E9C-101B-9397-08002B2CF9AE}" pid="3" name="subtitle">
    <vt:lpwstr>Executive Summary</vt:lpwstr>
  </property>
</Properties>
</file>