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Clinical Safety Summarization</w:t>
      </w:r>
    </w:p>
    <w:p>
      <w:pPr>
        <w:jc w:val="center"/>
      </w:pPr>
      <w:r>
        <w:rPr>
          <w:i/>
          <w:sz w:val="28"/>
        </w:rPr>
        <w:t>Progress Report</w:t>
      </w:r>
    </w:p>
    <w:p/>
    <w:p>
      <w:pPr>
        <w:jc w:val="center"/>
      </w:pPr>
      <w:r>
        <w:t>Prepared by: Bhrigu Verma</w:t>
      </w:r>
    </w:p>
    <w:p>
      <w:pPr>
        <w:jc w:val="center"/>
      </w:pPr>
      <w:r>
        <w:t>Date: 19 March 2026</w:t>
      </w:r>
    </w:p>
    <w:p>
      <w:r>
        <w:br w:type="page"/>
      </w:r>
    </w:p>
    <w:p>
      <w:pPr>
        <w:pStyle w:val="Heading1"/>
      </w:pPr>
      <w:r>
        <w:t>1. Problem and Motivation</w:t>
      </w:r>
    </w:p>
    <w:p>
      <w:pPr>
        <w:spacing w:after="160"/>
      </w:pPr>
      <w:r>
        <w:t>Clinical safety reporting teams spend significant effort transforming structured adverse-event tables into regulatory narrative text. This conversion is repetitive, time-intensive, and vulnerable to inconsistency when performed manually at scale.</w:t>
      </w:r>
    </w:p>
    <w:p>
      <w:pPr>
        <w:spacing w:after="160"/>
      </w:pPr>
      <w:r>
        <w:t>A straightforward LLM solution is not sufficient for this setting. In regulated documentation, numeric hallucinations and arm-attribution swaps are unacceptable, even if the generated prose sounds fluent.</w:t>
      </w:r>
    </w:p>
    <w:p>
      <w:pPr>
        <w:spacing w:after="160"/>
      </w:pPr>
      <w:r>
        <w:t>The core project goal is therefore to automate table-to-narrative generation while preserving factual safety and maintaining readable, professional writing quality.</w:t>
      </w:r>
    </w:p>
    <w:p>
      <w:pPr>
        <w:pStyle w:val="Heading1"/>
      </w:pPr>
      <w:r>
        <w:t>2. Solution Implemented</w:t>
      </w:r>
    </w:p>
    <w:p>
      <w:pPr>
        <w:spacing w:after="160"/>
      </w:pPr>
      <w:r>
        <w:t>We implemented a hybrid system that combines deterministic ML generation with neural rewriting. The deterministic layer ensures factual control, while the neural layer improves fluency.</w:t>
      </w:r>
    </w:p>
    <w:p>
      <w:pPr>
        <w:spacing w:after="160"/>
      </w:pPr>
      <w:r>
        <w:t>A verification gate checks generated output against source values and prevents unsafe generations from being used. If a violation is detected, the system falls back to the deterministic output.</w:t>
      </w:r>
    </w:p>
    <w:p>
      <w:pPr>
        <w:spacing w:after="160"/>
      </w:pPr>
      <w:r>
        <w:t>This architecture allows us to combine reliability and readability rather than trading one for the other.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Hybrid ML+DL architecture with verification gate and fallback control.</w:t>
      </w:r>
    </w:p>
    <w:p>
      <w:pPr>
        <w:pStyle w:val="Heading1"/>
      </w:pPr>
      <w:r>
        <w:t>3. Approaches Tried</w:t>
      </w:r>
    </w:p>
    <w:p>
      <w:pPr>
        <w:spacing w:after="160"/>
      </w:pPr>
      <w:r>
        <w:t>To evaluate design choices rigorously, we compared four modes under the same Tier-1 benchmark conditions: (1) ML deterministic baseline, (2) DL base generation, (3) DL fine-tuned rewrite mode, and (4) T5-XXL comparison baseline.</w:t>
      </w:r>
    </w:p>
    <w:p>
      <w:pPr>
        <w:spacing w:after="160"/>
      </w:pPr>
      <w:r>
        <w:t>This setup gives clear evidence for what worked, what underperformed, and where the practical deployment tradeoffs appear.</w:t>
      </w:r>
    </w:p>
    <w:p>
      <w:pPr>
        <w:pStyle w:val="Heading1"/>
      </w:pPr>
      <w:r>
        <w:t>4. Evaluation Setup</w:t>
      </w:r>
    </w:p>
    <w:p>
      <w:pPr>
        <w:spacing w:after="160"/>
      </w:pPr>
      <w:r>
        <w:t>All headline metrics in this report come from the consolidated four-model comparison file generated on 19 March 2026.</w:t>
      </w:r>
    </w:p>
    <w:p>
      <w:pPr>
        <w:spacing w:after="160"/>
      </w:pPr>
      <w:r>
        <w:t>We tracked faithfulness, safety, fluency, and latency to avoid making decisions from a single metric. This is important because high lexical overlap can mask safety-critical errors.</w:t>
      </w:r>
    </w:p>
    <w:p>
      <w:r>
        <w:t>Table 1. Four-model comparison on Tier-1 benchmark (n=41)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</w:t>
            </w:r>
          </w:p>
        </w:tc>
        <w:tc>
          <w:tcPr>
            <w:tcW w:type="dxa" w:w="864"/>
          </w:tcPr>
          <w:p>
            <w:r>
              <w:t>ROUGE-L</w:t>
            </w:r>
          </w:p>
        </w:tc>
        <w:tc>
          <w:tcPr>
            <w:tcW w:type="dxa" w:w="864"/>
          </w:tcPr>
          <w:p>
            <w:r>
              <w:t>NAR</w:t>
            </w:r>
          </w:p>
        </w:tc>
        <w:tc>
          <w:tcPr>
            <w:tcW w:type="dxa" w:w="864"/>
          </w:tcPr>
          <w:p>
            <w:r>
              <w:t>HR</w:t>
            </w:r>
          </w:p>
        </w:tc>
        <w:tc>
          <w:tcPr>
            <w:tcW w:type="dxa" w:w="864"/>
          </w:tcPr>
          <w:p>
            <w:r>
              <w:t>OR</w:t>
            </w:r>
          </w:p>
        </w:tc>
        <w:tc>
          <w:tcPr>
            <w:tcW w:type="dxa" w:w="864"/>
          </w:tcPr>
          <w:p>
            <w:r>
              <w:t>ACR</w:t>
            </w:r>
          </w:p>
        </w:tc>
        <w:tc>
          <w:tcPr>
            <w:tcW w:type="dxa" w:w="864"/>
          </w:tcPr>
          <w:p>
            <w:r>
              <w:t>Safety</w:t>
            </w:r>
          </w:p>
        </w:tc>
        <w:tc>
          <w:tcPr>
            <w:tcW w:type="dxa" w:w="864"/>
          </w:tcPr>
          <w:p>
            <w:r>
              <w:t>Fluency</w:t>
            </w:r>
          </w:p>
        </w:tc>
        <w:tc>
          <w:tcPr>
            <w:tcW w:type="dxa" w:w="864"/>
          </w:tcPr>
          <w:p>
            <w:r>
              <w:t>Latency Mean (ms)</w:t>
            </w:r>
          </w:p>
        </w:tc>
        <w:tc>
          <w:tcPr>
            <w:tcW w:type="dxa" w:w="864"/>
          </w:tcPr>
          <w:p>
            <w:r>
              <w:t>Latency P95 (ms)</w:t>
            </w:r>
          </w:p>
        </w:tc>
      </w:tr>
      <w:tr>
        <w:tc>
          <w:tcPr>
            <w:tcW w:type="dxa" w:w="864"/>
          </w:tcPr>
          <w:p>
            <w:r>
              <w:t>ML deterministic</w:t>
            </w:r>
          </w:p>
        </w:tc>
        <w:tc>
          <w:tcPr>
            <w:tcW w:type="dxa" w:w="864"/>
          </w:tcPr>
          <w:p>
            <w:r>
              <w:t>0.6878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0.1022</w:t>
            </w:r>
          </w:p>
        </w:tc>
        <w:tc>
          <w:tcPr>
            <w:tcW w:type="dxa" w:w="864"/>
          </w:tcPr>
          <w:p>
            <w:r>
              <w:t>0.9796</w:t>
            </w:r>
          </w:p>
        </w:tc>
        <w:tc>
          <w:tcPr>
            <w:tcW w:type="dxa" w:w="864"/>
          </w:tcPr>
          <w:p>
            <w:r>
              <w:t>0.3503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DL base</w:t>
            </w:r>
          </w:p>
        </w:tc>
        <w:tc>
          <w:tcPr>
            <w:tcW w:type="dxa" w:w="864"/>
          </w:tcPr>
          <w:p>
            <w:r>
              <w:t>0.4270</w:t>
            </w:r>
          </w:p>
        </w:tc>
        <w:tc>
          <w:tcPr>
            <w:tcW w:type="dxa" w:w="864"/>
          </w:tcPr>
          <w:p>
            <w:r>
              <w:t>0.7779</w:t>
            </w:r>
          </w:p>
        </w:tc>
        <w:tc>
          <w:tcPr>
            <w:tcW w:type="dxa" w:w="864"/>
          </w:tcPr>
          <w:p>
            <w:r>
              <w:t>0.3554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0.2475</w:t>
            </w:r>
          </w:p>
        </w:tc>
        <w:tc>
          <w:tcPr>
            <w:tcW w:type="dxa" w:w="864"/>
          </w:tcPr>
          <w:p>
            <w:r>
              <w:t>0.7839</w:t>
            </w:r>
          </w:p>
        </w:tc>
        <w:tc>
          <w:tcPr>
            <w:tcW w:type="dxa" w:w="864"/>
          </w:tcPr>
          <w:p>
            <w:r>
              <w:t>0.1735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DL fine-tuned</w:t>
            </w:r>
          </w:p>
        </w:tc>
        <w:tc>
          <w:tcPr>
            <w:tcW w:type="dxa" w:w="864"/>
          </w:tcPr>
          <w:p>
            <w:r>
              <w:t>0.7422</w:t>
            </w:r>
          </w:p>
        </w:tc>
        <w:tc>
          <w:tcPr>
            <w:tcW w:type="dxa" w:w="864"/>
          </w:tcPr>
          <w:p>
            <w:r>
              <w:t>0.9862</w:t>
            </w:r>
          </w:p>
        </w:tc>
        <w:tc>
          <w:tcPr>
            <w:tcW w:type="dxa" w:w="864"/>
          </w:tcPr>
          <w:p>
            <w:r>
              <w:t>0.0462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0.5062</w:t>
            </w:r>
          </w:p>
        </w:tc>
        <w:tc>
          <w:tcPr>
            <w:tcW w:type="dxa" w:w="864"/>
          </w:tcPr>
          <w:p>
            <w:r>
              <w:t>0.8824</w:t>
            </w:r>
          </w:p>
        </w:tc>
        <w:tc>
          <w:tcPr>
            <w:tcW w:type="dxa" w:w="864"/>
          </w:tcPr>
          <w:p>
            <w:r>
              <w:t>0.3690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T5-XXL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0.7287</w:t>
            </w:r>
          </w:p>
        </w:tc>
        <w:tc>
          <w:tcPr>
            <w:tcW w:type="dxa" w:w="864"/>
          </w:tcPr>
          <w:p>
            <w:r>
              <w:t>0.2764</w:t>
            </w:r>
          </w:p>
        </w:tc>
        <w:tc>
          <w:tcPr>
            <w:tcW w:type="dxa" w:w="864"/>
          </w:tcPr>
          <w:p>
            <w:r>
              <w:t>0.2683</w:t>
            </w:r>
          </w:p>
        </w:tc>
        <w:tc>
          <w:tcPr>
            <w:tcW w:type="dxa" w:w="864"/>
          </w:tcPr>
          <w:p>
            <w:r>
              <w:t>0.0987</w:t>
            </w:r>
          </w:p>
        </w:tc>
        <w:tc>
          <w:tcPr>
            <w:tcW w:type="dxa" w:w="864"/>
          </w:tcPr>
          <w:p>
            <w:r>
              <w:t>0.7625</w:t>
            </w:r>
          </w:p>
        </w:tc>
        <w:tc>
          <w:tcPr>
            <w:tcW w:type="dxa" w:w="864"/>
          </w:tcPr>
          <w:p>
            <w:r>
              <w:t>0.0139</w:t>
            </w:r>
          </w:p>
        </w:tc>
        <w:tc>
          <w:tcPr>
            <w:tcW w:type="dxa" w:w="864"/>
          </w:tcPr>
          <w:p>
            <w:r>
              <w:t>6835.44</w:t>
            </w:r>
          </w:p>
        </w:tc>
        <w:tc>
          <w:tcPr>
            <w:tcW w:type="dxa" w:w="864"/>
          </w:tcPr>
          <w:p>
            <w:r>
              <w:t>7795.41</w:t>
            </w:r>
          </w:p>
        </w:tc>
      </w:tr>
    </w:tbl>
    <w:p>
      <w:pPr>
        <w:pStyle w:val="Heading1"/>
      </w:pPr>
      <w:r>
        <w:t>5. Results and Interpretation</w:t>
      </w:r>
    </w:p>
    <w:p>
      <w:pPr>
        <w:spacing w:after="160"/>
      </w:pPr>
      <w:r>
        <w:t>The fine-tuned mode achieved the strongest ROUGE-L score while maintaining strong safety and fluency. The deterministic ML baseline remained the highest-safety profile and is still valuable as a fallback anchor.</w:t>
      </w:r>
    </w:p>
    <w:p>
      <w:pPr>
        <w:spacing w:after="160"/>
      </w:pPr>
      <w:r>
        <w:t>The base DL model showed weaker safety-quality balance than the fine-tuned configuration. T5-XXL, while large, was not practical in this setup due to poor benchmark behavior and significantly higher latency.</w:t>
      </w:r>
    </w:p>
    <w:p>
      <w:pPr>
        <w:spacing w:after="160"/>
      </w:pPr>
      <w:r>
        <w:t>Overall, the evidence supports the hybrid strategy as the most reliable path for regulated clinical summarization.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5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6_4mode_faithfulness_20260319_1205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Four-model faithfulness comparison (NAR, HR, OR, ACR views).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5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7_4mode_safety_fluency_20260319_1205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Safety versus fluency behavior across all evaluated approaches.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2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8_4mode_frontier_20260319_120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Frontier view for quality-safety tradeoff and model selection.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9_4mode_latency_20260319_1205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Latency profile (mean and upper-tail latency) across four approaches.</w:t>
      </w:r>
    </w:p>
    <w:p>
      <w:pPr>
        <w:pStyle w:val="Heading1"/>
      </w:pPr>
      <w:r>
        <w:t>6. Work Completed to Date</w:t>
      </w:r>
    </w:p>
    <w:p>
      <w:pPr>
        <w:pStyle w:val="ListBullet"/>
      </w:pPr>
      <w:r>
        <w:t>Built end-to-end data extraction, processing, and evaluation pipeline.</w:t>
      </w:r>
    </w:p>
    <w:p>
      <w:pPr>
        <w:pStyle w:val="ListBullet"/>
      </w:pPr>
      <w:r>
        <w:t>Implemented deterministic ML generation and integrated it into the serving path.</w:t>
      </w:r>
    </w:p>
    <w:p>
      <w:pPr>
        <w:pStyle w:val="ListBullet"/>
      </w:pPr>
      <w:r>
        <w:t>Integrated DL base and DL fine-tuned modes with safety verification.</w:t>
      </w:r>
    </w:p>
    <w:p>
      <w:pPr>
        <w:pStyle w:val="ListBullet"/>
      </w:pPr>
      <w:r>
        <w:t>Established reproducible 4-model comparison workflow and generated publication-ready figures.</w:t>
      </w:r>
    </w:p>
    <w:p>
      <w:pPr>
        <w:pStyle w:val="ListBullet"/>
      </w:pPr>
      <w:r>
        <w:t>Delivered frontend pathways for mode selection and summarization workflows.</w:t>
      </w:r>
    </w:p>
    <w:p>
      <w:pPr>
        <w:pStyle w:val="ListBullet"/>
      </w:pPr>
      <w:r>
        <w:t>Produced engineering and executive documentation for architecture, experiments, and milestones.</w:t>
      </w:r>
    </w:p>
    <w:p>
      <w:pPr>
        <w:pStyle w:val="Heading1"/>
      </w:pPr>
      <w:r>
        <w:t>7. Lessons Learned and Next Steps</w:t>
      </w:r>
    </w:p>
    <w:p>
      <w:pPr>
        <w:spacing w:after="160"/>
      </w:pPr>
      <w:r>
        <w:t>Key lesson: in regulated writing tasks, deterministic controls and verifiable checks are mandatory companions to neural generation.</w:t>
      </w:r>
    </w:p>
    <w:p>
      <w:pPr>
        <w:spacing w:after="160"/>
      </w:pPr>
      <w:r>
        <w:t>Next, we will improve fine-tuned mode safety margins, extend stress-test coverage, and finalize a paper-grade figure/table package for external presentation.</w:t>
      </w:r>
    </w:p>
    <w:p>
      <w:pPr>
        <w:spacing w:after="160"/>
      </w:pPr>
      <w:r>
        <w:t>We will also continue optimizing deployment practicality with a focus on latency stability and reproducible reporting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