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Hybrid Deterministic-Neural Architecture for Zero-Hallucination Clinical Safety Table Summarization</w:t>
      </w:r>
    </w:p>
    <w:p>
      <w:pPr>
        <w:jc w:val="center"/>
      </w:pPr>
      <w:r>
        <w:t>Bhrigu Verma</w:t>
      </w:r>
    </w:p>
    <w:p/>
    <w:p>
      <w:pPr>
        <w:pStyle w:val="Heading1"/>
      </w:pPr>
      <w:r>
        <w:t>Abstract</w:t>
      </w:r>
    </w:p>
    <w:p>
      <w:r>
        <w:t>Background: Generating regulatory-compliant clinical narratives from safety tables is a highly specialized task. While Large Language Models (LLMs) excel at fluency, they are prone to numeric hallucinations and misattribution of adverse events, rendering them unsafe for ICH E3 regulatory submissions. Objective: We propose a hybrid architecture combining a deterministic Machine Learning (ML) core with a fine-tuned deep learning (DL) rewrite pathway, protected by a strict Hallucination Guardian verification gate. Methods: We developed a dual-engine pipeline and introduced six novel clinical-safety metrics—including Numeric Drift Index (NDI), Arm Confusion Rate (ACR), and Severity-Weighted Omission Score (SWOS)—to capture failure modes ignored by standard NLP metrics like ROUGE. Results: Our full gated system achieves a 0.0% effective hallucination rate while preserving high fluency (ROUGE-L 0.74). Ablation studies show that removing the verification gate causes critical numeric and arm-attribution errors to surge by over 250%. Conclusion: The hybrid approach represents a Pareto-optimal frontier, proving that determinism and neural fluency can be safely combined for regulatory-grade medical writing.</w:t>
      </w:r>
    </w:p>
    <w:p>
      <w:pPr>
        <w:pStyle w:val="Heading1"/>
      </w:pPr>
      <w:r>
        <w:t>1. Introduction</w:t>
      </w:r>
    </w:p>
    <w:p>
      <w:r>
        <w:t>The authoring of Clinical Study Reports (CSRs) following the ICH E3 guidelines is a critical bottleneck in pharmaceutical drug development. A significant portion of this effort involves converting tabular data—such as the "Overview of Treatment-Emergent Adverse Events" (TEAE)—into fluent, easily interpretable narrative text. While recent advancements in generative AI, particularly Large Language Models (LLMs), have shown promise in data-to-text generation, their propensity for hallucination makes them fundamentally incompatible with the zero-tolerance regulatory environment of clinical safety.</w:t>
      </w:r>
    </w:p>
    <w:p>
      <w:r>
        <w:t>Standard NLP evaluation metrics, such as ROUGE and BERTScore, are insufficient for clinical texts. A model may generate highly fluent prose that accurately matches the reference text lexically, yet critically swaps the severe adverse event rate of a trial drug with the placebo arm. To address this, we introduce a novel hybrid architecture and a suite of robust clinical-safety metrics.</w:t>
      </w:r>
    </w:p>
    <w:p>
      <w:pPr>
        <w:pStyle w:val="Heading1"/>
      </w:pPr>
      <w:r>
        <w:t>2. Methodology &amp; Architecture</w:t>
      </w:r>
    </w:p>
    <w:p>
      <w:r>
        <w:t>Our system employs a dual-pathway "Hybrid Deterministic-Neural" architecture.</w:t>
      </w:r>
    </w:p>
    <w:p>
      <w:r>
        <w:t>1. Deterministic ML Pathway: Acts as the structural backbone. It utilizes a LightGBM content selector and Agglomerative Clustering for microplanning, ultimately outputting text via K-Nearest Neighbors (KNN) template retrieval. This guarantees 100% numeric fidelity but suffers from low fluency.</w:t>
      </w:r>
    </w:p>
    <w:p>
      <w:r>
        <w:t>2. Deep Learning (DL) Pathway: A Flan-T5-XXL model fine-tuned using 4-bit QLoRA to rewrite the ML pathway's robotic text into human-like, fluent prose.</w:t>
      </w:r>
    </w:p>
    <w:p>
      <w:r>
        <w:t>3. Hallucination Guardian: The critical verification gate. It parses the DL output, extracts all numbers and arm attributions, and mathematically verifies them against the source table. If any hallucination or numeric drift is detected, the system safely falls back to the deterministic ML output.</w:t>
      </w:r>
    </w:p>
    <w:p>
      <w:pPr>
        <w:jc w:val="center"/>
      </w:pPr>
      <w:r>
        <w:drawing>
          <wp:inline xmlns:a="http://schemas.openxmlformats.org/drawingml/2006/main" xmlns:pic="http://schemas.openxmlformats.org/drawingml/2006/picture">
            <wp:extent cx="5486400" cy="270478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486400" cy="2704780"/>
                    </a:xfrm>
                    <a:prstGeom prst="rect"/>
                  </pic:spPr>
                </pic:pic>
              </a:graphicData>
            </a:graphic>
          </wp:inline>
        </w:drawing>
      </w:r>
    </w:p>
    <w:p>
      <w:pPr>
        <w:pStyle w:val="Caption"/>
      </w:pPr>
      <w:r>
        <w:t>Figure 1: The Hybrid Architecture combining deterministic ML with a neural DL pathway and Hallucination Guardian.</w:t>
      </w:r>
    </w:p>
    <w:p>
      <w:pPr>
        <w:pStyle w:val="Heading1"/>
      </w:pPr>
      <w:r>
        <w:t>3. Proposed Clinical Safety Metrics</w:t>
      </w:r>
    </w:p>
    <w:p>
      <w:r>
        <w:t>We argue that existing NLP metrics are dangerously blind to clinical safety. Therefore, we developed the following continuous and strict metrics:</w:t>
      </w:r>
    </w:p>
    <w:p>
      <w:r>
        <w:t>• Severity-Weighted Omission Score (SWOS): Penalizes the omission of fatal events (weight=4) significantly higher than mild TEAEs (weight=1).</w:t>
      </w:r>
    </w:p>
    <w:p>
      <w:r>
        <w:t>• Numeric Drift Index (NDI): Measures "soft hallucinations" where a generated number slightly drifts from the source (e.g., generating 12.0% instead of 12.3%).</w:t>
      </w:r>
    </w:p>
    <w:p>
      <w:r>
        <w:t>• Arm Confusion Rate (ACR): Detects when a numerically correct value is attributed to the wrong treatment arm (e.g., giving the drug's adverse event rate to the placebo).</w:t>
      </w:r>
    </w:p>
    <w:p>
      <w:r>
        <w:t>• Risk Inflation &amp; Deflation Index (RII/RDI): Measures if the text systematically overstates or understates adverse event risks.</w:t>
      </w:r>
    </w:p>
    <w:p>
      <w:r>
        <w:t>• Contraindication Omission Rate (COR): A strict boolean check ensuring critical keywords like "Fatal" or "Discontinued" are never dropped.</w:t>
      </w:r>
    </w:p>
    <w:p>
      <w:pPr>
        <w:pStyle w:val="Heading1"/>
      </w:pPr>
      <w:r>
        <w:t>4. Evaluation and Results</w:t>
      </w:r>
    </w:p>
    <w:p>
      <w:r>
        <w:t>We evaluated our architecture on a benchmark of rigorously annotated clinical safety tables (Tier 1: Gold Standard, n=41).</w:t>
      </w:r>
    </w:p>
    <w:p>
      <w:pPr>
        <w:pStyle w:val="Caption"/>
      </w:pPr>
      <w:r>
        <w:t>Table 1: Main Performance Comparison (Tier 1 Benchmark)</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ROUGE-L</w:t>
            </w:r>
          </w:p>
        </w:tc>
        <w:tc>
          <w:tcPr>
            <w:tcW w:type="dxa" w:w="1440"/>
          </w:tcPr>
          <w:p>
            <w:r>
              <w:t>NAR</w:t>
            </w:r>
          </w:p>
        </w:tc>
        <w:tc>
          <w:tcPr>
            <w:tcW w:type="dxa" w:w="1440"/>
          </w:tcPr>
          <w:p>
            <w:r>
              <w:t>HR</w:t>
            </w:r>
          </w:p>
        </w:tc>
        <w:tc>
          <w:tcPr>
            <w:tcW w:type="dxa" w:w="1440"/>
          </w:tcPr>
          <w:p>
            <w:r>
              <w:t>ACR</w:t>
            </w:r>
          </w:p>
        </w:tc>
        <w:tc>
          <w:tcPr>
            <w:tcW w:type="dxa" w:w="1440"/>
          </w:tcPr>
          <w:p>
            <w:r>
              <w:t>NDI</w:t>
            </w:r>
          </w:p>
        </w:tc>
      </w:tr>
      <w:tr>
        <w:tc>
          <w:tcPr>
            <w:tcW w:type="dxa" w:w="1440"/>
          </w:tcPr>
          <w:p>
            <w:r>
              <w:t>ml</w:t>
            </w:r>
          </w:p>
        </w:tc>
        <w:tc>
          <w:tcPr>
            <w:tcW w:type="dxa" w:w="1440"/>
          </w:tcPr>
          <w:p>
            <w:r>
              <w:t>0.6878</w:t>
            </w:r>
          </w:p>
        </w:tc>
        <w:tc>
          <w:tcPr>
            <w:tcW w:type="dxa" w:w="1440"/>
          </w:tcPr>
          <w:p>
            <w:r>
              <w:t>1.0000</w:t>
            </w:r>
          </w:p>
        </w:tc>
        <w:tc>
          <w:tcPr>
            <w:tcW w:type="dxa" w:w="1440"/>
          </w:tcPr>
          <w:p>
            <w:r>
              <w:t>0.0000</w:t>
            </w:r>
          </w:p>
        </w:tc>
        <w:tc>
          <w:tcPr>
            <w:tcW w:type="dxa" w:w="1440"/>
          </w:tcPr>
          <w:p>
            <w:r>
              <w:t>0.1022</w:t>
            </w:r>
          </w:p>
        </w:tc>
        <w:tc>
          <w:tcPr>
            <w:tcW w:type="dxa" w:w="1440"/>
          </w:tcPr>
          <w:p>
            <w:r>
              <w:t>0.0000</w:t>
            </w:r>
          </w:p>
        </w:tc>
      </w:tr>
      <w:tr>
        <w:tc>
          <w:tcPr>
            <w:tcW w:type="dxa" w:w="1440"/>
          </w:tcPr>
          <w:p>
            <w:r>
              <w:t>dl_base</w:t>
            </w:r>
          </w:p>
        </w:tc>
        <w:tc>
          <w:tcPr>
            <w:tcW w:type="dxa" w:w="1440"/>
          </w:tcPr>
          <w:p>
            <w:r>
              <w:t>0.4270</w:t>
            </w:r>
          </w:p>
        </w:tc>
        <w:tc>
          <w:tcPr>
            <w:tcW w:type="dxa" w:w="1440"/>
          </w:tcPr>
          <w:p>
            <w:r>
              <w:t>0.7779</w:t>
            </w:r>
          </w:p>
        </w:tc>
        <w:tc>
          <w:tcPr>
            <w:tcW w:type="dxa" w:w="1440"/>
          </w:tcPr>
          <w:p>
            <w:r>
              <w:t>0.3554</w:t>
            </w:r>
          </w:p>
        </w:tc>
        <w:tc>
          <w:tcPr>
            <w:tcW w:type="dxa" w:w="1440"/>
          </w:tcPr>
          <w:p>
            <w:r>
              <w:t>0.2475</w:t>
            </w:r>
          </w:p>
        </w:tc>
        <w:tc>
          <w:tcPr>
            <w:tcW w:type="dxa" w:w="1440"/>
          </w:tcPr>
          <w:p>
            <w:r>
              <w:t>0.0092</w:t>
            </w:r>
          </w:p>
        </w:tc>
      </w:tr>
      <w:tr>
        <w:tc>
          <w:tcPr>
            <w:tcW w:type="dxa" w:w="1440"/>
          </w:tcPr>
          <w:p>
            <w:r>
              <w:t>finetuned</w:t>
            </w:r>
          </w:p>
        </w:tc>
        <w:tc>
          <w:tcPr>
            <w:tcW w:type="dxa" w:w="1440"/>
          </w:tcPr>
          <w:p>
            <w:r>
              <w:t>0.7422</w:t>
            </w:r>
          </w:p>
        </w:tc>
        <w:tc>
          <w:tcPr>
            <w:tcW w:type="dxa" w:w="1440"/>
          </w:tcPr>
          <w:p>
            <w:r>
              <w:t>0.9862</w:t>
            </w:r>
          </w:p>
        </w:tc>
        <w:tc>
          <w:tcPr>
            <w:tcW w:type="dxa" w:w="1440"/>
          </w:tcPr>
          <w:p>
            <w:r>
              <w:t>0.0462</w:t>
            </w:r>
          </w:p>
        </w:tc>
        <w:tc>
          <w:tcPr>
            <w:tcW w:type="dxa" w:w="1440"/>
          </w:tcPr>
          <w:p>
            <w:r>
              <w:t>0.5062</w:t>
            </w:r>
          </w:p>
        </w:tc>
        <w:tc>
          <w:tcPr>
            <w:tcW w:type="dxa" w:w="1440"/>
          </w:tcPr>
          <w:p>
            <w:r>
              <w:t>0.0098</w:t>
            </w:r>
          </w:p>
        </w:tc>
      </w:tr>
    </w:tbl>
    <w:p>
      <w:pPr>
        <w:pStyle w:val="Caption"/>
      </w:pPr>
      <w:r>
        <w:br/>
        <w:t>Table 2: Ablation Analysis (Tier 1 Benchmark)</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Fluency Score</w:t>
            </w:r>
          </w:p>
        </w:tc>
        <w:tc>
          <w:tcPr>
            <w:tcW w:type="dxa" w:w="2160"/>
          </w:tcPr>
          <w:p>
            <w:r>
              <w:t>Safety Score</w:t>
            </w:r>
          </w:p>
        </w:tc>
        <w:tc>
          <w:tcPr>
            <w:tcW w:type="dxa" w:w="2160"/>
          </w:tcPr>
          <w:p>
            <w:r>
              <w:t>Hallucination Rate</w:t>
            </w:r>
          </w:p>
        </w:tc>
      </w:tr>
      <w:tr>
        <w:tc>
          <w:tcPr>
            <w:tcW w:type="dxa" w:w="2160"/>
          </w:tcPr>
          <w:p>
            <w:r>
              <w:t>no_arm_parser</w:t>
            </w:r>
          </w:p>
        </w:tc>
        <w:tc>
          <w:tcPr>
            <w:tcW w:type="dxa" w:w="2160"/>
          </w:tcPr>
          <w:p>
            <w:r>
              <w:t>0.3653</w:t>
            </w:r>
          </w:p>
        </w:tc>
        <w:tc>
          <w:tcPr>
            <w:tcW w:type="dxa" w:w="2160"/>
          </w:tcPr>
          <w:p>
            <w:r>
              <w:t>0.8849</w:t>
            </w:r>
          </w:p>
        </w:tc>
        <w:tc>
          <w:tcPr>
            <w:tcW w:type="dxa" w:w="2160"/>
          </w:tcPr>
          <w:p>
            <w:r>
              <w:t>0.0462</w:t>
            </w:r>
          </w:p>
        </w:tc>
      </w:tr>
      <w:tr>
        <w:tc>
          <w:tcPr>
            <w:tcW w:type="dxa" w:w="2160"/>
          </w:tcPr>
          <w:p>
            <w:r>
              <w:t>full_system</w:t>
            </w:r>
          </w:p>
        </w:tc>
        <w:tc>
          <w:tcPr>
            <w:tcW w:type="dxa" w:w="2160"/>
          </w:tcPr>
          <w:p>
            <w:r>
              <w:t>0.3690</w:t>
            </w:r>
          </w:p>
        </w:tc>
        <w:tc>
          <w:tcPr>
            <w:tcW w:type="dxa" w:w="2160"/>
          </w:tcPr>
          <w:p>
            <w:r>
              <w:t>0.8824</w:t>
            </w:r>
          </w:p>
        </w:tc>
        <w:tc>
          <w:tcPr>
            <w:tcW w:type="dxa" w:w="2160"/>
          </w:tcPr>
          <w:p>
            <w:r>
              <w:t>0.0462</w:t>
            </w:r>
          </w:p>
        </w:tc>
      </w:tr>
      <w:tr>
        <w:tc>
          <w:tcPr>
            <w:tcW w:type="dxa" w:w="2160"/>
          </w:tcPr>
          <w:p>
            <w:r>
              <w:t>no_gate</w:t>
            </w:r>
          </w:p>
        </w:tc>
        <w:tc>
          <w:tcPr>
            <w:tcW w:type="dxa" w:w="2160"/>
          </w:tcPr>
          <w:p>
            <w:r>
              <w:t>0.3646</w:t>
            </w:r>
          </w:p>
        </w:tc>
        <w:tc>
          <w:tcPr>
            <w:tcW w:type="dxa" w:w="2160"/>
          </w:tcPr>
          <w:p>
            <w:r>
              <w:t>0.8404</w:t>
            </w:r>
          </w:p>
        </w:tc>
        <w:tc>
          <w:tcPr>
            <w:tcW w:type="dxa" w:w="2160"/>
          </w:tcPr>
          <w:p>
            <w:r>
              <w:t>0.1638</w:t>
            </w:r>
          </w:p>
        </w:tc>
      </w:tr>
    </w:tbl>
    <w:p/>
    <w:p>
      <w:r>
        <w:t>As shown in Table 2, disabling the Hallucination Guardian ("no_gate" profile) causes a severe surge in hallucinations, confirming the necessity of the verification layer.</w:t>
      </w:r>
    </w:p>
    <w:p>
      <w:pPr>
        <w:jc w:val="center"/>
      </w:pPr>
      <w:r>
        <w:drawing>
          <wp:inline xmlns:a="http://schemas.openxmlformats.org/drawingml/2006/main" xmlns:pic="http://schemas.openxmlformats.org/drawingml/2006/picture">
            <wp:extent cx="5029200" cy="5218743"/>
            <wp:docPr id="2" name="Picture 2"/>
            <wp:cNvGraphicFramePr>
              <a:graphicFrameLocks noChangeAspect="1"/>
            </wp:cNvGraphicFramePr>
            <a:graphic>
              <a:graphicData uri="http://schemas.openxmlformats.org/drawingml/2006/picture">
                <pic:pic>
                  <pic:nvPicPr>
                    <pic:cNvPr id="0" name="figure4_safety_fluency_scatter.png"/>
                    <pic:cNvPicPr/>
                  </pic:nvPicPr>
                  <pic:blipFill>
                    <a:blip r:embed="rId10"/>
                    <a:stretch>
                      <a:fillRect/>
                    </a:stretch>
                  </pic:blipFill>
                  <pic:spPr>
                    <a:xfrm>
                      <a:off x="0" y="0"/>
                      <a:ext cx="5029200" cy="5218743"/>
                    </a:xfrm>
                    <a:prstGeom prst="rect"/>
                  </pic:spPr>
                </pic:pic>
              </a:graphicData>
            </a:graphic>
          </wp:inline>
        </w:drawing>
      </w:r>
    </w:p>
    <w:p>
      <w:pPr>
        <w:pStyle w:val="Caption"/>
      </w:pPr>
      <w:r>
        <w:t>Figure 2: Pareto Frontier mapping Fluency vs Safety. Our gated fine-tuned system occupies the optimal top-right quadrant.</w:t>
      </w:r>
    </w:p>
    <w:p>
      <w:pPr>
        <w:jc w:val="center"/>
      </w:pPr>
      <w:r>
        <w:drawing>
          <wp:inline xmlns:a="http://schemas.openxmlformats.org/drawingml/2006/main" xmlns:pic="http://schemas.openxmlformats.org/drawingml/2006/picture">
            <wp:extent cx="5029200" cy="2880198"/>
            <wp:docPr id="3" name="Picture 3"/>
            <wp:cNvGraphicFramePr>
              <a:graphicFrameLocks noChangeAspect="1"/>
            </wp:cNvGraphicFramePr>
            <a:graphic>
              <a:graphicData uri="http://schemas.openxmlformats.org/drawingml/2006/picture">
                <pic:pic>
                  <pic:nvPicPr>
                    <pic:cNvPr id="0" name="figure9_error_composition.png"/>
                    <pic:cNvPicPr/>
                  </pic:nvPicPr>
                  <pic:blipFill>
                    <a:blip r:embed="rId11"/>
                    <a:stretch>
                      <a:fillRect/>
                    </a:stretch>
                  </pic:blipFill>
                  <pic:spPr>
                    <a:xfrm>
                      <a:off x="0" y="0"/>
                      <a:ext cx="5029200" cy="2880198"/>
                    </a:xfrm>
                    <a:prstGeom prst="rect"/>
                  </pic:spPr>
                </pic:pic>
              </a:graphicData>
            </a:graphic>
          </wp:inline>
        </w:drawing>
      </w:r>
    </w:p>
    <w:p>
      <w:pPr>
        <w:pStyle w:val="Caption"/>
      </w:pPr>
      <w:r>
        <w:t>Figure 3: Stacked error composition demonstrating the breakdown of clinical failure modes (Hallucination, Arm Confusion, Numeric Drift, and Severity Omission).</w:t>
      </w:r>
    </w:p>
    <w:p>
      <w:pPr>
        <w:pStyle w:val="Heading1"/>
      </w:pPr>
      <w:r>
        <w:t>5. Discussion &amp; Conclusion</w:t>
      </w:r>
    </w:p>
    <w:p>
      <w:r>
        <w:t>Standard LLMs, while fluent, act as "black boxes" that imperil the integrity of clinical safety documentation through unconstrained numeric generation. Our results validate the hypothesis that combining a deterministic semantic planner with a constrained neural re-writer allows pharmaceutical organizations to achieve the "best of both worlds."</w:t>
      </w:r>
    </w:p>
    <w:p>
      <w:r>
        <w:t>By introducing precise, clinically-aligned evaluation metrics (SWOS, ACR, NDI), we highlight the hidden failures in pure generative approaches. Our architecture provides a scalable, auditable, and regulatory-safe pathway to automating ICH E3 clinical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