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E6099D" w:rsidP="005F14BB">
      <w:pPr>
        <w:ind w:leftChars="607" w:left="1276" w:rightChars="377" w:right="792" w:hanging="1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01EF4">
        <w:rPr>
          <w:rFonts w:ascii="Times New Roman" w:eastAsia="宋体" w:hAnsi="Times New Roman" w:cs="Times New Roman"/>
          <w:sz w:val="44"/>
          <w:szCs w:val="44"/>
        </w:rPr>
        <w:t>基于</w:t>
      </w:r>
      <w:r w:rsidRPr="00F01EF4">
        <w:rPr>
          <w:rFonts w:ascii="Times New Roman" w:eastAsia="宋体" w:hAnsi="Times New Roman" w:cs="Times New Roman"/>
          <w:sz w:val="44"/>
          <w:szCs w:val="44"/>
        </w:rPr>
        <w:t>*.</w:t>
      </w:r>
      <w:proofErr w:type="spellStart"/>
      <w:r w:rsidRPr="00F01EF4">
        <w:rPr>
          <w:rFonts w:ascii="Times New Roman" w:eastAsia="宋体" w:hAnsi="Times New Roman" w:cs="Times New Roman"/>
          <w:sz w:val="44"/>
          <w:szCs w:val="44"/>
        </w:rPr>
        <w:t>mpp</w:t>
      </w:r>
      <w:proofErr w:type="spellEnd"/>
      <w:r w:rsidRPr="00F01EF4">
        <w:rPr>
          <w:rFonts w:ascii="Times New Roman" w:eastAsia="宋体" w:hAnsi="Times New Roman" w:cs="Times New Roman"/>
          <w:sz w:val="44"/>
          <w:szCs w:val="44"/>
        </w:rPr>
        <w:t>文件的</w:t>
      </w:r>
      <w:r w:rsidRPr="00F01EF4">
        <w:rPr>
          <w:rFonts w:ascii="Times New Roman" w:eastAsia="宋体" w:hAnsi="Times New Roman" w:cs="Times New Roman"/>
          <w:sz w:val="44"/>
          <w:szCs w:val="44"/>
        </w:rPr>
        <w:t>JAVA</w:t>
      </w:r>
      <w:r w:rsidRPr="00F01EF4">
        <w:rPr>
          <w:rFonts w:ascii="Times New Roman" w:eastAsia="宋体" w:hAnsi="Times New Roman" w:cs="Times New Roman"/>
          <w:sz w:val="44"/>
          <w:szCs w:val="44"/>
        </w:rPr>
        <w:t>桌面应用</w:t>
      </w:r>
      <w:r w:rsidR="005F14BB" w:rsidRPr="00F01EF4">
        <w:rPr>
          <w:rFonts w:ascii="Times New Roman" w:eastAsia="宋体" w:hAnsi="Times New Roman" w:cs="Times New Roman"/>
          <w:sz w:val="44"/>
          <w:szCs w:val="44"/>
        </w:rPr>
        <w:t>项目计划书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CB4ED3" w:rsidRPr="00F01EF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lastRenderedPageBreak/>
        <w:t>1.引言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1.1编写目的</w:t>
      </w:r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1.2标识</w:t>
      </w:r>
    </w:p>
    <w:p w:rsidR="00CB4ED3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基于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MPXJ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CB4ED3" w:rsidRPr="00F01EF4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CB4ED3" w:rsidRPr="00F01EF4">
        <w:rPr>
          <w:rFonts w:ascii="Times New Roman" w:eastAsia="宋体" w:hAnsi="Times New Roman" w:cs="Times New Roman"/>
          <w:sz w:val="24"/>
          <w:szCs w:val="24"/>
        </w:rPr>
        <w:t>文件信息读取的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JAVA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分析系统名称：</w:t>
      </w:r>
      <w:r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1.3系统简介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Pr="00F01EF4">
        <w:rPr>
          <w:rFonts w:ascii="Times New Roman" w:eastAsia="宋体" w:hAnsi="Times New Roman" w:cs="Times New Roman"/>
        </w:rPr>
        <w:fldChar w:fldCharType="begin"/>
      </w:r>
      <w:r w:rsidRPr="00F01EF4">
        <w:rPr>
          <w:rFonts w:ascii="Times New Roman" w:eastAsia="宋体" w:hAnsi="Times New Roman" w:cs="Times New Roman"/>
        </w:rPr>
        <w:instrText xml:space="preserve"> HYPERLINK "http://baike.baidu.com/view/2384468.htm" \t "_blank" </w:instrText>
      </w:r>
      <w:r w:rsidRPr="00F01EF4">
        <w:rPr>
          <w:rFonts w:ascii="Times New Roman" w:eastAsia="宋体" w:hAnsi="Times New Roman" w:cs="Times New Roman"/>
        </w:rPr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1.4文档概述</w:t>
      </w:r>
    </w:p>
    <w:p w:rsidR="00CB4ED3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B4ED3" w:rsidRPr="00F01EF4">
        <w:rPr>
          <w:rFonts w:ascii="Times New Roman" w:eastAsia="宋体" w:hAnsi="Times New Roman" w:cs="Times New Roman"/>
          <w:szCs w:val="21"/>
        </w:rPr>
        <w:t>基于</w:t>
      </w:r>
      <w:r w:rsidR="00CB4ED3" w:rsidRPr="00F01EF4">
        <w:rPr>
          <w:rFonts w:ascii="Times New Roman" w:eastAsia="宋体" w:hAnsi="Times New Roman" w:cs="Times New Roman"/>
          <w:szCs w:val="21"/>
        </w:rPr>
        <w:t>MPXJ</w:t>
      </w:r>
      <w:r w:rsidR="00CB4ED3" w:rsidRPr="00F01EF4">
        <w:rPr>
          <w:rFonts w:ascii="Times New Roman" w:eastAsia="宋体" w:hAnsi="Times New Roman" w:cs="Times New Roman"/>
          <w:szCs w:val="21"/>
        </w:rPr>
        <w:t>的</w:t>
      </w:r>
      <w:proofErr w:type="spellStart"/>
      <w:r w:rsidR="00CB4ED3" w:rsidRPr="00F01EF4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B4ED3" w:rsidRPr="00F01EF4">
        <w:rPr>
          <w:rFonts w:ascii="Times New Roman" w:eastAsia="宋体" w:hAnsi="Times New Roman" w:cs="Times New Roman"/>
          <w:szCs w:val="21"/>
        </w:rPr>
        <w:t>文件信息读取的</w:t>
      </w:r>
      <w:r w:rsidR="00CB4ED3" w:rsidRPr="00F01EF4">
        <w:rPr>
          <w:rFonts w:ascii="Times New Roman" w:eastAsia="宋体" w:hAnsi="Times New Roman" w:cs="Times New Roman"/>
          <w:szCs w:val="21"/>
        </w:rPr>
        <w:t>JAVA</w:t>
      </w:r>
      <w:r w:rsidR="00CB4ED3" w:rsidRPr="00F01EF4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2.运行环境要求</w:t>
      </w:r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2.1硬件环境</w:t>
      </w:r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3．项目资源和任务计划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3.1人力资源</w:t>
      </w:r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D247D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代码编写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，文档工作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代码编写，做计划，主持会议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，文档工作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代码编写，文档工作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文档工作，代码编写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 w:hint="eastAsia"/>
        </w:rPr>
      </w:pPr>
      <w:r w:rsidRPr="00E3732E">
        <w:rPr>
          <w:rFonts w:ascii="黑体" w:eastAsia="黑体" w:hAnsi="黑体" w:cs="Times New Roman"/>
        </w:rPr>
        <w:t>3.2任务计划</w:t>
      </w:r>
    </w:p>
    <w:p w:rsidR="003D247D" w:rsidRDefault="003D247D" w:rsidP="003D247D">
      <w:pPr>
        <w:pStyle w:val="5"/>
        <w:rPr>
          <w:rFonts w:hint="eastAsia"/>
        </w:rPr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lastRenderedPageBreak/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8"/>
        <w:tblW w:w="9088" w:type="dxa"/>
        <w:tblInd w:w="279" w:type="dxa"/>
        <w:tblLook w:val="04A0" w:firstRow="1" w:lastRow="0" w:firstColumn="1" w:lastColumn="0" w:noHBand="0" w:noVBand="1"/>
      </w:tblPr>
      <w:tblGrid>
        <w:gridCol w:w="1247"/>
        <w:gridCol w:w="2445"/>
        <w:gridCol w:w="852"/>
        <w:gridCol w:w="1381"/>
        <w:gridCol w:w="1459"/>
        <w:gridCol w:w="1704"/>
      </w:tblGrid>
      <w:tr w:rsidR="005F14BB" w:rsidRPr="00F01EF4" w:rsidTr="00C32805">
        <w:trPr>
          <w:trHeight w:val="397"/>
        </w:trPr>
        <w:tc>
          <w:tcPr>
            <w:tcW w:w="1247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任务名称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01EF4">
              <w:rPr>
                <w:rFonts w:ascii="Times New Roman" w:eastAsia="宋体" w:hAnsi="Times New Roman" w:cs="Times New Roman"/>
                <w:szCs w:val="21"/>
              </w:rPr>
              <w:t>子任务</w:t>
            </w:r>
            <w:proofErr w:type="gramEnd"/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工期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开始时间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完成时间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人员分配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确定项目计划及人员分工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6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初步确定项目及研究方向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初步确定小组人员分工及协作方式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撰写项目计划和项目计划书初稿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提交项目计划及项目计划初稿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在论坛上浏览其他组的项目计划，互相讨论交流和学习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项目计划的展示并与老师同学进行讨论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根据讨论的结果和意见修改和完善项目计划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完成项目规划及人员分工并提交相关文档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软件需求分析，建模与验证方法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6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获取并说明软件需求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软件需求分析，建模与验证方法（续）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细化并严谨的定义软件需求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需求验证及完善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撰写需求规格说明书和软件需求分析报告初稿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初步完成软件需求分析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软件需求评审及复评审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网上评审和会议评审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撰写软件评审报告和软件问题报告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根据评审报告修改和完善需求分析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软件复评审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根据复</w:t>
            </w:r>
            <w:proofErr w:type="gramStart"/>
            <w:r w:rsidRPr="00F01EF4">
              <w:rPr>
                <w:rFonts w:ascii="Times New Roman" w:eastAsia="宋体" w:hAnsi="Times New Roman" w:cs="Times New Roman"/>
                <w:szCs w:val="21"/>
              </w:rPr>
              <w:t>评审评审</w:t>
            </w:r>
            <w:proofErr w:type="gramEnd"/>
            <w:r w:rsidRPr="00F01EF4">
              <w:rPr>
                <w:rFonts w:ascii="Times New Roman" w:eastAsia="宋体" w:hAnsi="Times New Roman" w:cs="Times New Roman"/>
                <w:szCs w:val="21"/>
              </w:rPr>
              <w:t>报告修改和完善需求分析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软件产品的设计，改进及展示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了解软件产品的特性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分析软件产品的不足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初步设计改进的方案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根据设计方案收集相关资料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完善设计方案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编码实现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撰写设计与实现报告及相关文档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18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完成软件设计，改进及展示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软件测试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测试需求定义和测试用例的设计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学习并使用测试工具进行测试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充分性分析及增强测试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撰写测试结果的分析报告及软件问题报告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软件测试演示及评审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测试需求和测试用例评审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测试结果分析评审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软件测试演示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撰写软件评审报告和问题报告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分析和总结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7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组内讨论分析和总结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撰写实验分析和总结报告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4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</w:tbl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F01EF4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1"/>
        <w:gridCol w:w="2964"/>
        <w:gridCol w:w="2887"/>
      </w:tblGrid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lastRenderedPageBreak/>
              <w:t>10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2964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87" w:type="dxa"/>
          </w:tcPr>
          <w:p w:rsidR="00003EE6" w:rsidRPr="00F01EF4" w:rsidRDefault="00003EE6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>
      <w:pPr>
        <w:rPr>
          <w:rFonts w:hint="eastAsia"/>
        </w:rPr>
      </w:pPr>
    </w:p>
    <w:p w:rsidR="005F14BB" w:rsidRDefault="00C14F69" w:rsidP="00C14F69">
      <w:pPr>
        <w:pStyle w:val="2"/>
        <w:rPr>
          <w:rFonts w:hint="eastAsia"/>
        </w:rPr>
      </w:pPr>
      <w:r>
        <w:rPr>
          <w:rFonts w:hint="eastAsia"/>
        </w:rPr>
        <w:t>3.3 待定问题和解决方案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161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</w:tbl>
    <w:p w:rsidR="00C14F69" w:rsidRDefault="00C14F69" w:rsidP="00C14F69">
      <w:pPr>
        <w:rPr>
          <w:rFonts w:ascii="宋体" w:eastAsia="宋体" w:hAnsi="宋体" w:hint="eastAsia"/>
          <w:sz w:val="22"/>
        </w:rPr>
      </w:pPr>
    </w:p>
    <w:p w:rsidR="00BC5807" w:rsidRDefault="00BC5807" w:rsidP="00C14F69">
      <w:pPr>
        <w:rPr>
          <w:rFonts w:ascii="宋体" w:eastAsia="宋体" w:hAnsi="宋体" w:hint="eastAsia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  <w:bookmarkStart w:id="0" w:name="_GoBack"/>
      <w:bookmarkEnd w:id="0"/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D1" w:rsidRDefault="00D56DD1" w:rsidP="005F14BB">
      <w:r>
        <w:separator/>
      </w:r>
    </w:p>
  </w:endnote>
  <w:endnote w:type="continuationSeparator" w:id="0">
    <w:p w:rsidR="00D56DD1" w:rsidRDefault="00D56DD1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D1" w:rsidRDefault="00D56DD1" w:rsidP="005F14BB">
      <w:r>
        <w:separator/>
      </w:r>
    </w:p>
  </w:footnote>
  <w:footnote w:type="continuationSeparator" w:id="0">
    <w:p w:rsidR="00D56DD1" w:rsidRDefault="00D56DD1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 w:rsidP="003D247D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D"/>
    <w:rsid w:val="00003EE6"/>
    <w:rsid w:val="00027481"/>
    <w:rsid w:val="00097078"/>
    <w:rsid w:val="001F3390"/>
    <w:rsid w:val="00297631"/>
    <w:rsid w:val="00306762"/>
    <w:rsid w:val="00327956"/>
    <w:rsid w:val="003C4DB9"/>
    <w:rsid w:val="003D247D"/>
    <w:rsid w:val="005C12FB"/>
    <w:rsid w:val="005F14BB"/>
    <w:rsid w:val="00671B52"/>
    <w:rsid w:val="00A67106"/>
    <w:rsid w:val="00B77A92"/>
    <w:rsid w:val="00BC5807"/>
    <w:rsid w:val="00BC7DF9"/>
    <w:rsid w:val="00C14F69"/>
    <w:rsid w:val="00C96D5D"/>
    <w:rsid w:val="00CB4ED3"/>
    <w:rsid w:val="00D56DD1"/>
    <w:rsid w:val="00E3732E"/>
    <w:rsid w:val="00E600F1"/>
    <w:rsid w:val="00E6099D"/>
    <w:rsid w:val="00E83F1A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DD8B-4981-442B-8F74-FEA22087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Windows 用户</cp:lastModifiedBy>
  <cp:revision>13</cp:revision>
  <dcterms:created xsi:type="dcterms:W3CDTF">2016-03-15T12:54:00Z</dcterms:created>
  <dcterms:modified xsi:type="dcterms:W3CDTF">2016-03-22T07:22:00Z</dcterms:modified>
</cp:coreProperties>
</file>