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3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3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5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  <w:rPr>
          <w:rFonts w:hint="default" w:eastAsia="宋体"/>
          <w:lang w:val="en-US" w:eastAsia="zh-CN"/>
        </w:rPr>
      </w:pPr>
      <w:r>
        <w:rPr>
          <w:rFonts w:hint="eastAsia"/>
        </w:rPr>
        <w:t>姓名：     张</w:t>
      </w:r>
      <w:r>
        <w:rPr>
          <w:rFonts w:hint="eastAsia"/>
          <w:lang w:val="en-US" w:eastAsia="zh-CN"/>
        </w:rPr>
        <w:t>祥国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5"/>
        <w:tblW w:w="48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688"/>
        <w:gridCol w:w="3533"/>
        <w:gridCol w:w="2543"/>
        <w:gridCol w:w="1547"/>
        <w:gridCol w:w="2109"/>
        <w:gridCol w:w="1986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28" w:type="pct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1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8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2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21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28" w:type="pct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1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891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2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21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28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开会讨论修改需求说明书与评审单的制定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8" w:type="pct"/>
            <w:vMerge w:val="continue"/>
            <w:tcBorders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调研需求规格说明评审单格式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了解了</w:t>
            </w:r>
            <w:r>
              <w:rPr>
                <w:rFonts w:hint="eastAsia"/>
                <w:szCs w:val="21"/>
                <w:lang w:val="en-US" w:eastAsia="zh-CN"/>
              </w:rPr>
              <w:t>标准的</w:t>
            </w:r>
            <w:r>
              <w:rPr>
                <w:rFonts w:hint="eastAsia"/>
                <w:szCs w:val="21"/>
              </w:rPr>
              <w:t>需求规格说明评审单的格式</w:t>
            </w:r>
            <w:r>
              <w:rPr>
                <w:rFonts w:hint="eastAsia"/>
                <w:szCs w:val="21"/>
                <w:lang w:val="en-US" w:eastAsia="zh-CN"/>
              </w:rPr>
              <w:t>和往届的需求评审表单的格式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表单格式和规范不了解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已处理</w:t>
            </w:r>
          </w:p>
        </w:tc>
        <w:tc>
          <w:tcPr>
            <w:tcW w:w="42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28" w:type="pct"/>
            <w:vMerge w:val="continue"/>
            <w:tcBorders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完成需求评审表单的设计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完成评审表单设计和上传到github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不明确表单应包含得内容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已处理</w:t>
            </w:r>
          </w:p>
        </w:tc>
        <w:tc>
          <w:tcPr>
            <w:tcW w:w="42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8" w:type="pct"/>
            <w:vMerge w:val="continue"/>
            <w:tcBorders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记录课堂点评的问题并统计处理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完成问题统计并上传到github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记录与其他组出现得共同问题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已处理</w:t>
            </w:r>
          </w:p>
        </w:tc>
        <w:tc>
          <w:tcPr>
            <w:tcW w:w="42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8" w:type="pct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71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提交评审单1次，工作日志1次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课堂点评记录一次</w:t>
            </w:r>
            <w:bookmarkStart w:id="0" w:name="_GoBack"/>
            <w:bookmarkEnd w:id="0"/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E46BD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  <w:rsid w:val="746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6"/>
    <w:link w:val="4"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8">
    <w:name w:val="页眉 字符"/>
    <w:basedOn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1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71</Words>
  <Characters>411</Characters>
  <Lines>3</Lines>
  <Paragraphs>1</Paragraphs>
  <TotalTime>7</TotalTime>
  <ScaleCrop>false</ScaleCrop>
  <LinksUpToDate>false</LinksUpToDate>
  <CharactersWithSpaces>481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2017-03-31T04:37:00Z</dcterms:created>
  <dc:creator>huangfei</dc:creator>
  <cp:lastModifiedBy>zxg</cp:lastModifiedBy>
  <dcterms:modified xsi:type="dcterms:W3CDTF">2020-04-02T16:53:37Z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