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2"/>
        <w:gridCol w:w="1100"/>
        <w:gridCol w:w="2528"/>
        <w:gridCol w:w="900"/>
        <w:gridCol w:w="720"/>
        <w:gridCol w:w="1710"/>
        <w:gridCol w:w="1630"/>
      </w:tblGrid>
      <w:tr w:rsidR="006054DD" w:rsidTr="006054DD">
        <w:trPr>
          <w:trHeight w:val="500"/>
        </w:trPr>
        <w:tc>
          <w:tcPr>
            <w:tcW w:w="1882" w:type="dxa"/>
            <w:gridSpan w:val="2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项目名称</w:t>
            </w:r>
          </w:p>
        </w:tc>
        <w:tc>
          <w:tcPr>
            <w:tcW w:w="7488" w:type="dxa"/>
            <w:gridSpan w:val="5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对</w:t>
            </w:r>
            <w:r>
              <w:rPr>
                <w:rFonts w:ascii="Times New Roman" w:eastAsia="SimSun" w:hAnsi="Times New Roman" w:cs="Times New Roman"/>
              </w:rPr>
              <w:t>Node-RED</w:t>
            </w:r>
            <w:r>
              <w:rPr>
                <w:rFonts w:ascii="Times New Roman" w:eastAsia="SimSun" w:hAnsi="Times New Roman" w:cs="Times New Roman"/>
              </w:rPr>
              <w:t>工具的消息聚集和图形可视化拓展</w:t>
            </w:r>
          </w:p>
        </w:tc>
      </w:tr>
      <w:tr w:rsidR="006054DD" w:rsidTr="006054DD">
        <w:trPr>
          <w:trHeight w:val="500"/>
        </w:trPr>
        <w:tc>
          <w:tcPr>
            <w:tcW w:w="1882" w:type="dxa"/>
            <w:gridSpan w:val="2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评审对象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需求规格说明书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版本号</w:t>
            </w:r>
          </w:p>
        </w:tc>
        <w:tc>
          <w:tcPr>
            <w:tcW w:w="4060" w:type="dxa"/>
            <w:gridSpan w:val="3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v2.2.2</w:t>
            </w:r>
          </w:p>
        </w:tc>
      </w:tr>
      <w:tr w:rsidR="006054DD" w:rsidTr="006054DD">
        <w:trPr>
          <w:trHeight w:val="500"/>
        </w:trPr>
        <w:tc>
          <w:tcPr>
            <w:tcW w:w="1882" w:type="dxa"/>
            <w:gridSpan w:val="2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评审日期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2020/4/14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评审方式</w:t>
            </w:r>
          </w:p>
        </w:tc>
        <w:tc>
          <w:tcPr>
            <w:tcW w:w="4060" w:type="dxa"/>
            <w:gridSpan w:val="3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网上互评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序号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问题位置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问题描述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报告人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严重性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处理意见</w:t>
            </w:r>
          </w:p>
        </w:tc>
        <w:tc>
          <w:tcPr>
            <w:tcW w:w="163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反馈结果（接受</w:t>
            </w:r>
            <w:r>
              <w:rPr>
                <w:rFonts w:ascii="Times New Roman" w:eastAsia="SimSun" w:hAnsi="Times New Roman" w:cs="Times New Roman"/>
              </w:rPr>
              <w:t>/</w:t>
            </w:r>
            <w:r>
              <w:rPr>
                <w:rFonts w:ascii="Times New Roman" w:eastAsia="SimSun" w:hAnsi="Times New Roman" w:cs="Times New Roman"/>
              </w:rPr>
              <w:t>部分接受</w:t>
            </w:r>
            <w:r>
              <w:rPr>
                <w:rFonts w:ascii="Times New Roman" w:eastAsia="SimSun" w:hAnsi="Times New Roman" w:cs="Times New Roman"/>
              </w:rPr>
              <w:t>/</w:t>
            </w:r>
            <w:r>
              <w:rPr>
                <w:rFonts w:ascii="Times New Roman" w:eastAsia="SimSun" w:hAnsi="Times New Roman" w:cs="Times New Roman"/>
              </w:rPr>
              <w:t>拒绝，如果部分接受</w:t>
            </w:r>
            <w:r>
              <w:rPr>
                <w:rFonts w:ascii="Times New Roman" w:eastAsia="SimSun" w:hAnsi="Times New Roman" w:cs="Times New Roman"/>
              </w:rPr>
              <w:t>/</w:t>
            </w:r>
            <w:r>
              <w:rPr>
                <w:rFonts w:ascii="Times New Roman" w:eastAsia="SimSun" w:hAnsi="Times New Roman" w:cs="Times New Roman"/>
              </w:rPr>
              <w:t>拒绝请填写理由）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1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版本变更历史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V2.0.2</w:t>
            </w:r>
            <w:r>
              <w:rPr>
                <w:rFonts w:ascii="Times New Roman" w:eastAsia="SimSun" w:hAnsi="Times New Roman" w:cs="Times New Roman"/>
              </w:rPr>
              <w:t>版本为三稿，而前后版本均为二稿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郭浩隆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轻微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建议修改</w:t>
            </w:r>
          </w:p>
        </w:tc>
        <w:tc>
          <w:tcPr>
            <w:tcW w:w="1630" w:type="dxa"/>
          </w:tcPr>
          <w:p w:rsidR="001F5469" w:rsidRDefault="002C2312">
            <w:r>
              <w:rPr>
                <w:rFonts w:ascii="Times New Roman" w:eastAsia="SimSun" w:hAnsi="Times New Roman" w:cs="Times New Roman"/>
              </w:rPr>
              <w:t>接受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2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表</w:t>
            </w:r>
            <w:r>
              <w:rPr>
                <w:rFonts w:ascii="Times New Roman" w:eastAsia="SimSun" w:hAnsi="Times New Roman" w:cs="Times New Roman"/>
              </w:rPr>
              <w:t>4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Postcondition</w:t>
            </w:r>
            <w:r>
              <w:rPr>
                <w:rFonts w:ascii="Times New Roman" w:eastAsia="SimSun" w:hAnsi="Times New Roman" w:cs="Times New Roman"/>
              </w:rPr>
              <w:t>第二句话缺少主语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郭浩隆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轻微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建议改为</w:t>
            </w:r>
            <w:r>
              <w:rPr>
                <w:rFonts w:ascii="Times New Roman" w:eastAsia="SimSun" w:hAnsi="Times New Roman" w:cs="Times New Roman"/>
              </w:rPr>
              <w:t>“</w:t>
            </w:r>
            <w:r>
              <w:rPr>
                <w:rFonts w:ascii="Times New Roman" w:eastAsia="SimSun" w:hAnsi="Times New Roman" w:cs="Times New Roman"/>
              </w:rPr>
              <w:t>系统将</w:t>
            </w:r>
            <w:r>
              <w:rPr>
                <w:rFonts w:ascii="Times New Roman" w:eastAsia="SimSun" w:hAnsi="Times New Roman" w:cs="Times New Roman"/>
              </w:rPr>
              <w:t>……”</w:t>
            </w:r>
          </w:p>
        </w:tc>
        <w:tc>
          <w:tcPr>
            <w:tcW w:w="1630" w:type="dxa"/>
          </w:tcPr>
          <w:p w:rsidR="001F5469" w:rsidRDefault="002C2312" w:rsidP="006054DD">
            <w:r>
              <w:rPr>
                <w:rFonts w:ascii="Times New Roman" w:eastAsia="SimSun" w:hAnsi="Times New Roman" w:cs="Times New Roman"/>
              </w:rPr>
              <w:t>拒绝，主语为</w:t>
            </w:r>
            <w:r w:rsidR="006054DD">
              <w:rPr>
                <w:rFonts w:ascii="Times New Roman" w:eastAsia="SimSun" w:hAnsi="Times New Roman" w:cs="Times New Roman"/>
              </w:rPr>
              <w:t>“</w:t>
            </w:r>
            <w:r>
              <w:rPr>
                <w:rFonts w:ascii="Times New Roman" w:eastAsia="SimSun" w:hAnsi="Times New Roman" w:cs="Times New Roman"/>
              </w:rPr>
              <w:t>实现新增拓展包相应功能的代码</w:t>
            </w:r>
            <w:r w:rsidR="006054DD">
              <w:rPr>
                <w:rFonts w:ascii="Times New Roman" w:eastAsia="SimSun" w:hAnsi="Times New Roman" w:cs="Times New Roman"/>
              </w:rPr>
              <w:t>”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3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表</w:t>
            </w:r>
            <w:r>
              <w:rPr>
                <w:rFonts w:ascii="Times New Roman" w:eastAsia="SimSun" w:hAnsi="Times New Roman" w:cs="Times New Roman"/>
              </w:rPr>
              <w:t>6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Precondition</w:t>
            </w:r>
            <w:r>
              <w:rPr>
                <w:rFonts w:ascii="Times New Roman" w:eastAsia="SimSun" w:hAnsi="Times New Roman" w:cs="Times New Roman"/>
              </w:rPr>
              <w:t>中</w:t>
            </w:r>
            <w:r>
              <w:rPr>
                <w:rFonts w:ascii="Times New Roman" w:eastAsia="SimSun" w:hAnsi="Times New Roman" w:cs="Times New Roman"/>
              </w:rPr>
              <w:t>‘</w:t>
            </w:r>
            <w:r>
              <w:rPr>
                <w:rFonts w:ascii="Times New Roman" w:eastAsia="SimSun" w:hAnsi="Times New Roman" w:cs="Times New Roman"/>
              </w:rPr>
              <w:t>同时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/>
              </w:rPr>
              <w:t>比较多余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郭浩隆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轻微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建议删除</w:t>
            </w:r>
            <w:r>
              <w:rPr>
                <w:rFonts w:ascii="Times New Roman" w:eastAsia="SimSun" w:hAnsi="Times New Roman" w:cs="Times New Roman"/>
              </w:rPr>
              <w:t>‘</w:t>
            </w:r>
            <w:r>
              <w:rPr>
                <w:rFonts w:ascii="Times New Roman" w:eastAsia="SimSun" w:hAnsi="Times New Roman" w:cs="Times New Roman"/>
              </w:rPr>
              <w:t>同时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/>
              </w:rPr>
              <w:t>，写成两个简单句</w:t>
            </w:r>
          </w:p>
        </w:tc>
        <w:tc>
          <w:tcPr>
            <w:tcW w:w="1630" w:type="dxa"/>
          </w:tcPr>
          <w:p w:rsidR="001F5469" w:rsidRDefault="002C2312">
            <w:r>
              <w:rPr>
                <w:rFonts w:ascii="Times New Roman" w:eastAsia="SimSun" w:hAnsi="Times New Roman" w:cs="Times New Roman"/>
              </w:rPr>
              <w:t>接受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4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表</w:t>
            </w:r>
            <w:r>
              <w:rPr>
                <w:rFonts w:ascii="Times New Roman" w:eastAsia="SimSun" w:hAnsi="Times New Roman" w:cs="Times New Roman"/>
              </w:rPr>
              <w:t>9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Basic flow</w:t>
            </w:r>
            <w:r>
              <w:rPr>
                <w:rFonts w:ascii="Times New Roman" w:eastAsia="SimSun" w:hAnsi="Times New Roman" w:cs="Times New Roman"/>
              </w:rPr>
              <w:t>中</w:t>
            </w:r>
            <w:r>
              <w:rPr>
                <w:rFonts w:ascii="Times New Roman" w:eastAsia="SimSun" w:hAnsi="Times New Roman" w:cs="Times New Roman"/>
              </w:rPr>
              <w:t>steps</w:t>
            </w:r>
            <w:r>
              <w:rPr>
                <w:rFonts w:ascii="Times New Roman" w:eastAsia="SimSun" w:hAnsi="Times New Roman" w:cs="Times New Roman"/>
              </w:rPr>
              <w:t>写成</w:t>
            </w:r>
            <w:r>
              <w:rPr>
                <w:rFonts w:ascii="Times New Roman" w:eastAsia="SimSun" w:hAnsi="Times New Roman" w:cs="Times New Roman"/>
              </w:rPr>
              <w:t>step2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郭浩隆</w:t>
            </w:r>
          </w:p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梁远志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轻微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建议修改</w:t>
            </w:r>
          </w:p>
        </w:tc>
        <w:tc>
          <w:tcPr>
            <w:tcW w:w="1630" w:type="dxa"/>
          </w:tcPr>
          <w:p w:rsidR="001F5469" w:rsidRDefault="002C2312">
            <w:r>
              <w:rPr>
                <w:rFonts w:ascii="Times New Roman" w:eastAsia="SimSun" w:hAnsi="Times New Roman" w:cs="Times New Roman"/>
              </w:rPr>
              <w:t>接受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5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表</w:t>
            </w:r>
            <w:r>
              <w:rPr>
                <w:rFonts w:ascii="Times New Roman" w:eastAsia="SimSun" w:hAnsi="Times New Roman" w:cs="Times New Roman"/>
              </w:rPr>
              <w:t>26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Specific Alternative Flows</w:t>
            </w:r>
            <w:r>
              <w:rPr>
                <w:rFonts w:ascii="Times New Roman" w:eastAsia="SimSun" w:hAnsi="Times New Roman" w:cs="Times New Roman"/>
              </w:rPr>
              <w:t>使用不合理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郭浩隆</w:t>
            </w:r>
          </w:p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梁远志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一般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建议改为</w:t>
            </w:r>
            <w:r>
              <w:rPr>
                <w:rFonts w:ascii="Times New Roman" w:eastAsia="SimSun" w:hAnsi="Times New Roman" w:cs="Times New Roman"/>
              </w:rPr>
              <w:t>IF-ELSE</w:t>
            </w:r>
          </w:p>
        </w:tc>
        <w:tc>
          <w:tcPr>
            <w:tcW w:w="1630" w:type="dxa"/>
          </w:tcPr>
          <w:p w:rsidR="001F5469" w:rsidRDefault="002C2312">
            <w:r>
              <w:rPr>
                <w:rFonts w:ascii="Times New Roman" w:eastAsia="SimSun" w:hAnsi="Times New Roman" w:cs="Times New Roman"/>
              </w:rPr>
              <w:t>接受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6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1.2.2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第</w:t>
            </w:r>
            <w:r>
              <w:rPr>
                <w:rFonts w:ascii="Times New Roman" w:eastAsia="SimSun" w:hAnsi="Times New Roman" w:cs="Times New Roman"/>
              </w:rPr>
              <w:t>3)</w:t>
            </w:r>
            <w:r>
              <w:rPr>
                <w:rFonts w:ascii="Times New Roman" w:eastAsia="SimSun" w:hAnsi="Times New Roman" w:cs="Times New Roman"/>
              </w:rPr>
              <w:t>点句末尾使用分号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梁远志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轻微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改用句号</w:t>
            </w:r>
          </w:p>
        </w:tc>
        <w:tc>
          <w:tcPr>
            <w:tcW w:w="1630" w:type="dxa"/>
          </w:tcPr>
          <w:p w:rsidR="001F5469" w:rsidRDefault="002C2312">
            <w:r>
              <w:rPr>
                <w:rFonts w:ascii="Times New Roman" w:eastAsia="SimSun" w:hAnsi="Times New Roman" w:cs="Times New Roman"/>
              </w:rPr>
              <w:t>接受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7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全文多处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用例描述表格（</w:t>
            </w:r>
            <w:r>
              <w:rPr>
                <w:rFonts w:ascii="Times New Roman" w:eastAsia="SimSun" w:hAnsi="Times New Roman" w:cs="Times New Roman"/>
              </w:rPr>
              <w:t>RUCM</w:t>
            </w:r>
            <w:r>
              <w:rPr>
                <w:rFonts w:ascii="Times New Roman" w:eastAsia="SimSun" w:hAnsi="Times New Roman" w:cs="Times New Roman"/>
              </w:rPr>
              <w:t>）中的</w:t>
            </w:r>
            <w:r>
              <w:rPr>
                <w:rFonts w:ascii="Times New Roman" w:eastAsia="SimSun" w:hAnsi="Times New Roman" w:cs="Times New Roman"/>
              </w:rPr>
              <w:t>Brief Description/Precondition/PostCondition</w:t>
            </w:r>
            <w:r>
              <w:rPr>
                <w:rFonts w:ascii="Times New Roman" w:eastAsia="SimSun" w:hAnsi="Times New Roman" w:cs="Times New Roman"/>
              </w:rPr>
              <w:t>等字段句后有无句号情况不一致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梁远志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轻微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统一添加句号</w:t>
            </w:r>
          </w:p>
        </w:tc>
        <w:tc>
          <w:tcPr>
            <w:tcW w:w="1630" w:type="dxa"/>
          </w:tcPr>
          <w:p w:rsidR="001F5469" w:rsidRDefault="002C2312">
            <w:r>
              <w:rPr>
                <w:rFonts w:ascii="Times New Roman" w:eastAsia="SimSun" w:hAnsi="Times New Roman" w:cs="Times New Roman"/>
              </w:rPr>
              <w:t>接受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8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3.2.2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表</w:t>
            </w:r>
            <w:r>
              <w:rPr>
                <w:rFonts w:ascii="Times New Roman" w:eastAsia="SimSun" w:hAnsi="Times New Roman" w:cs="Times New Roman"/>
              </w:rPr>
              <w:t>4</w:t>
            </w:r>
            <w:r>
              <w:rPr>
                <w:rFonts w:ascii="Times New Roman" w:eastAsia="SimSun" w:hAnsi="Times New Roman" w:cs="Times New Roman"/>
              </w:rPr>
              <w:t>中第</w:t>
            </w:r>
            <w:r>
              <w:rPr>
                <w:rFonts w:ascii="Times New Roman" w:eastAsia="SimSun" w:hAnsi="Times New Roman" w:cs="Times New Roman"/>
              </w:rPr>
              <w:t>6</w:t>
            </w:r>
            <w:r>
              <w:rPr>
                <w:rFonts w:ascii="Times New Roman" w:eastAsia="SimSun" w:hAnsi="Times New Roman" w:cs="Times New Roman"/>
              </w:rPr>
              <w:t>步使用</w:t>
            </w:r>
            <w:r>
              <w:rPr>
                <w:rFonts w:ascii="Times New Roman" w:eastAsia="SimSun" w:hAnsi="Times New Roman" w:cs="Times New Roman"/>
              </w:rPr>
              <w:t>“install”</w:t>
            </w:r>
            <w:r>
              <w:rPr>
                <w:rFonts w:ascii="Times New Roman" w:eastAsia="SimSun" w:hAnsi="Times New Roman" w:cs="Times New Roman"/>
              </w:rPr>
              <w:t>使用英文，与其他使用中文的操作名称不一致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梁远志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轻微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改用</w:t>
            </w:r>
            <w:r>
              <w:rPr>
                <w:rFonts w:ascii="Times New Roman" w:eastAsia="SimSun" w:hAnsi="Times New Roman" w:cs="Times New Roman"/>
              </w:rPr>
              <w:t>“</w:t>
            </w:r>
            <w:r>
              <w:rPr>
                <w:rFonts w:ascii="Times New Roman" w:eastAsia="SimSun" w:hAnsi="Times New Roman" w:cs="Times New Roman"/>
              </w:rPr>
              <w:t>安装</w:t>
            </w:r>
            <w:r>
              <w:rPr>
                <w:rFonts w:ascii="Times New Roman" w:eastAsia="SimSun" w:hAnsi="Times New Roman" w:cs="Times New Roman"/>
              </w:rPr>
              <w:t>”</w:t>
            </w:r>
          </w:p>
        </w:tc>
        <w:tc>
          <w:tcPr>
            <w:tcW w:w="1630" w:type="dxa"/>
          </w:tcPr>
          <w:p w:rsidR="001F5469" w:rsidRDefault="002C2312">
            <w:r>
              <w:rPr>
                <w:rFonts w:ascii="Times New Roman" w:eastAsia="SimSun" w:hAnsi="Times New Roman" w:cs="Times New Roman"/>
              </w:rPr>
              <w:t>接受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9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3.2.3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表</w:t>
            </w:r>
            <w:r>
              <w:rPr>
                <w:rFonts w:ascii="Times New Roman" w:eastAsia="SimSun" w:hAnsi="Times New Roman" w:cs="Times New Roman"/>
              </w:rPr>
              <w:t>5</w:t>
            </w:r>
            <w:r>
              <w:rPr>
                <w:rFonts w:ascii="Times New Roman" w:eastAsia="SimSun" w:hAnsi="Times New Roman" w:cs="Times New Roman"/>
              </w:rPr>
              <w:t>中</w:t>
            </w:r>
            <w:r>
              <w:rPr>
                <w:rFonts w:ascii="Times New Roman" w:eastAsia="SimSun" w:hAnsi="Times New Roman" w:cs="Times New Roman"/>
              </w:rPr>
              <w:t>“debug</w:t>
            </w:r>
            <w:r>
              <w:rPr>
                <w:rFonts w:ascii="Times New Roman" w:eastAsia="SimSun" w:hAnsi="Times New Roman" w:cs="Times New Roman"/>
              </w:rPr>
              <w:t>节点</w:t>
            </w:r>
            <w:r>
              <w:rPr>
                <w:rFonts w:ascii="Times New Roman" w:eastAsia="SimSun" w:hAnsi="Times New Roman" w:cs="Times New Roman"/>
              </w:rPr>
              <w:t>”</w:t>
            </w:r>
            <w:r>
              <w:rPr>
                <w:rFonts w:ascii="Times New Roman" w:eastAsia="SimSun" w:hAnsi="Times New Roman" w:cs="Times New Roman"/>
              </w:rPr>
              <w:t>和</w:t>
            </w:r>
            <w:r>
              <w:rPr>
                <w:rFonts w:ascii="Times New Roman" w:eastAsia="SimSun" w:hAnsi="Times New Roman" w:cs="Times New Roman"/>
              </w:rPr>
              <w:t>“inject</w:t>
            </w:r>
            <w:r>
              <w:rPr>
                <w:rFonts w:ascii="Times New Roman" w:eastAsia="SimSun" w:hAnsi="Times New Roman" w:cs="Times New Roman"/>
              </w:rPr>
              <w:t>节点</w:t>
            </w:r>
            <w:r>
              <w:rPr>
                <w:rFonts w:ascii="Times New Roman" w:eastAsia="SimSun" w:hAnsi="Times New Roman" w:cs="Times New Roman"/>
              </w:rPr>
              <w:t>”</w:t>
            </w:r>
            <w:r>
              <w:rPr>
                <w:rFonts w:ascii="Times New Roman" w:eastAsia="SimSun" w:hAnsi="Times New Roman" w:cs="Times New Roman"/>
              </w:rPr>
              <w:t>在上下文无解释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梁远志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轻微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添加术语解释</w:t>
            </w:r>
          </w:p>
        </w:tc>
        <w:tc>
          <w:tcPr>
            <w:tcW w:w="1630" w:type="dxa"/>
          </w:tcPr>
          <w:p w:rsidR="001F5469" w:rsidRDefault="002C2312">
            <w:r>
              <w:rPr>
                <w:rFonts w:ascii="Times New Roman" w:eastAsia="SimSun" w:hAnsi="Times New Roman" w:cs="Times New Roman"/>
              </w:rPr>
              <w:t>接受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lastRenderedPageBreak/>
              <w:t>10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3.2.5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表</w:t>
            </w:r>
            <w:r>
              <w:rPr>
                <w:rFonts w:ascii="Times New Roman" w:eastAsia="SimSun" w:hAnsi="Times New Roman" w:cs="Times New Roman"/>
              </w:rPr>
              <w:t>7</w:t>
            </w:r>
            <w:r>
              <w:rPr>
                <w:rFonts w:ascii="Times New Roman" w:eastAsia="SimSun" w:hAnsi="Times New Roman" w:cs="Times New Roman"/>
              </w:rPr>
              <w:t>中术语</w:t>
            </w:r>
            <w:r>
              <w:rPr>
                <w:rFonts w:ascii="Times New Roman" w:eastAsia="SimSun" w:hAnsi="Times New Roman" w:cs="Times New Roman"/>
              </w:rPr>
              <w:t>“WebSocket”</w:t>
            </w:r>
            <w:r>
              <w:rPr>
                <w:rFonts w:ascii="Times New Roman" w:eastAsia="SimSun" w:hAnsi="Times New Roman" w:cs="Times New Roman"/>
              </w:rPr>
              <w:t>和</w:t>
            </w:r>
            <w:r>
              <w:rPr>
                <w:rFonts w:ascii="Times New Roman" w:eastAsia="SimSun" w:hAnsi="Times New Roman" w:cs="Times New Roman"/>
              </w:rPr>
              <w:t>“websocket”</w:t>
            </w:r>
            <w:r>
              <w:rPr>
                <w:rFonts w:ascii="Times New Roman" w:eastAsia="SimSun" w:hAnsi="Times New Roman" w:cs="Times New Roman"/>
              </w:rPr>
              <w:t>大小写不一致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梁远志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轻微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统一术语使用</w:t>
            </w:r>
          </w:p>
        </w:tc>
        <w:tc>
          <w:tcPr>
            <w:tcW w:w="1630" w:type="dxa"/>
          </w:tcPr>
          <w:p w:rsidR="001F5469" w:rsidRDefault="002C2312">
            <w:r>
              <w:rPr>
                <w:rFonts w:ascii="Times New Roman" w:eastAsia="SimSun" w:hAnsi="Times New Roman" w:cs="Times New Roman"/>
              </w:rPr>
              <w:t>接受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11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3.2.5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表</w:t>
            </w:r>
            <w:r>
              <w:rPr>
                <w:rFonts w:ascii="Times New Roman" w:eastAsia="SimSun" w:hAnsi="Times New Roman" w:cs="Times New Roman"/>
              </w:rPr>
              <w:t>7</w:t>
            </w:r>
            <w:r>
              <w:rPr>
                <w:rFonts w:ascii="Times New Roman" w:eastAsia="SimSun" w:hAnsi="Times New Roman" w:cs="Times New Roman"/>
              </w:rPr>
              <w:t>中第</w:t>
            </w:r>
            <w:r>
              <w:rPr>
                <w:rFonts w:ascii="Times New Roman" w:eastAsia="SimSun" w:hAnsi="Times New Roman" w:cs="Times New Roman"/>
              </w:rPr>
              <w:t>3</w:t>
            </w:r>
            <w:r>
              <w:rPr>
                <w:rFonts w:ascii="Times New Roman" w:eastAsia="SimSun" w:hAnsi="Times New Roman" w:cs="Times New Roman"/>
              </w:rPr>
              <w:t>步是一名词性短语，不能表示一个步骤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梁远志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中等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检查语义</w:t>
            </w:r>
          </w:p>
        </w:tc>
        <w:tc>
          <w:tcPr>
            <w:tcW w:w="1630" w:type="dxa"/>
          </w:tcPr>
          <w:p w:rsidR="001F5469" w:rsidRDefault="002C2312">
            <w:r>
              <w:rPr>
                <w:rFonts w:ascii="Times New Roman" w:eastAsia="SimSun" w:hAnsi="Times New Roman" w:cs="Times New Roman"/>
              </w:rPr>
              <w:t>接受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12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3.3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文中术语</w:t>
            </w:r>
            <w:r>
              <w:rPr>
                <w:rFonts w:ascii="Times New Roman" w:eastAsia="SimSun" w:hAnsi="Times New Roman" w:cs="Times New Roman"/>
              </w:rPr>
              <w:t>“markdown”</w:t>
            </w:r>
            <w:r>
              <w:rPr>
                <w:rFonts w:ascii="Times New Roman" w:eastAsia="SimSun" w:hAnsi="Times New Roman" w:cs="Times New Roman"/>
              </w:rPr>
              <w:t>使用大小写不一致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梁远志</w:t>
            </w:r>
          </w:p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宋冰晨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轻微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统一大小写</w:t>
            </w:r>
          </w:p>
        </w:tc>
        <w:tc>
          <w:tcPr>
            <w:tcW w:w="1630" w:type="dxa"/>
          </w:tcPr>
          <w:p w:rsidR="001F5469" w:rsidRDefault="002C2312">
            <w:r>
              <w:rPr>
                <w:rFonts w:ascii="Times New Roman" w:eastAsia="SimSun" w:hAnsi="Times New Roman" w:cs="Times New Roman"/>
              </w:rPr>
              <w:t>接受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13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3.3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表</w:t>
            </w:r>
            <w:r>
              <w:rPr>
                <w:rFonts w:ascii="Times New Roman" w:eastAsia="SimSun" w:hAnsi="Times New Roman" w:cs="Times New Roman"/>
              </w:rPr>
              <w:t>10</w:t>
            </w:r>
            <w:r>
              <w:rPr>
                <w:rFonts w:ascii="Times New Roman" w:eastAsia="SimSun" w:hAnsi="Times New Roman" w:cs="Times New Roman"/>
              </w:rPr>
              <w:t>表格排版不雅观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梁远志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轻微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按内容调整列宽</w:t>
            </w:r>
          </w:p>
        </w:tc>
        <w:tc>
          <w:tcPr>
            <w:tcW w:w="1630" w:type="dxa"/>
          </w:tcPr>
          <w:p w:rsidR="001F5469" w:rsidRDefault="002C2312">
            <w:r>
              <w:rPr>
                <w:rFonts w:ascii="Times New Roman" w:eastAsia="SimSun" w:hAnsi="Times New Roman" w:cs="Times New Roman"/>
              </w:rPr>
              <w:t>接受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14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3.3.1</w:t>
            </w:r>
            <w:r>
              <w:rPr>
                <w:rFonts w:ascii="Times New Roman" w:eastAsia="SimSun" w:hAnsi="Times New Roman" w:cs="Times New Roman"/>
              </w:rPr>
              <w:t>等多处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使用的</w:t>
            </w:r>
            <w:r>
              <w:rPr>
                <w:rFonts w:ascii="Times New Roman" w:eastAsia="SimSun" w:hAnsi="Times New Roman" w:cs="Times New Roman"/>
              </w:rPr>
              <w:t>RUCM</w:t>
            </w:r>
            <w:r>
              <w:rPr>
                <w:rFonts w:ascii="Times New Roman" w:eastAsia="SimSun" w:hAnsi="Times New Roman" w:cs="Times New Roman"/>
              </w:rPr>
              <w:t>表格模板不一致，如表</w:t>
            </w:r>
            <w:r>
              <w:rPr>
                <w:rFonts w:ascii="Times New Roman" w:eastAsia="SimSun" w:hAnsi="Times New Roman" w:cs="Times New Roman"/>
              </w:rPr>
              <w:t>11</w:t>
            </w:r>
            <w:r>
              <w:rPr>
                <w:rFonts w:ascii="Times New Roman" w:eastAsia="SimSun" w:hAnsi="Times New Roman" w:cs="Times New Roman"/>
              </w:rPr>
              <w:t>缺少</w:t>
            </w:r>
            <w:r>
              <w:rPr>
                <w:rFonts w:ascii="Times New Roman" w:eastAsia="SimSun" w:hAnsi="Times New Roman" w:cs="Times New Roman"/>
              </w:rPr>
              <w:t>“Steps”</w:t>
            </w:r>
            <w:r>
              <w:rPr>
                <w:rFonts w:ascii="Times New Roman" w:eastAsia="SimSun" w:hAnsi="Times New Roman" w:cs="Times New Roman"/>
              </w:rPr>
              <w:t>一行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梁远志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轻微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统一使用模板</w:t>
            </w:r>
          </w:p>
        </w:tc>
        <w:tc>
          <w:tcPr>
            <w:tcW w:w="1630" w:type="dxa"/>
          </w:tcPr>
          <w:p w:rsidR="001F5469" w:rsidRDefault="002C2312">
            <w:r>
              <w:rPr>
                <w:rFonts w:ascii="Times New Roman" w:eastAsia="SimSun" w:hAnsi="Times New Roman" w:cs="Times New Roman"/>
              </w:rPr>
              <w:t>接受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15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全文多处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RUCM</w:t>
            </w:r>
            <w:r>
              <w:rPr>
                <w:rFonts w:ascii="Times New Roman" w:eastAsia="SimSun" w:hAnsi="Times New Roman" w:cs="Times New Roman"/>
              </w:rPr>
              <w:t>中描述</w:t>
            </w:r>
            <w:r>
              <w:rPr>
                <w:rFonts w:ascii="Times New Roman" w:eastAsia="SimSun" w:hAnsi="Times New Roman" w:cs="Times New Roman"/>
              </w:rPr>
              <w:t>Postcondition</w:t>
            </w:r>
            <w:r>
              <w:rPr>
                <w:rFonts w:ascii="Times New Roman" w:eastAsia="SimSun" w:hAnsi="Times New Roman" w:cs="Times New Roman"/>
              </w:rPr>
              <w:t>中不能正确表示一个状态。如表</w:t>
            </w:r>
            <w:r>
              <w:rPr>
                <w:rFonts w:ascii="Times New Roman" w:eastAsia="SimSun" w:hAnsi="Times New Roman" w:cs="Times New Roman"/>
              </w:rPr>
              <w:t>13</w:t>
            </w:r>
            <w:r>
              <w:rPr>
                <w:rFonts w:ascii="Times New Roman" w:eastAsia="SimSun" w:hAnsi="Times New Roman" w:cs="Times New Roman"/>
              </w:rPr>
              <w:t>的</w:t>
            </w:r>
            <w:r>
              <w:rPr>
                <w:rFonts w:ascii="Times New Roman" w:eastAsia="SimSun" w:hAnsi="Times New Roman" w:cs="Times New Roman"/>
              </w:rPr>
              <w:t>Postcondition</w:t>
            </w:r>
            <w:r>
              <w:rPr>
                <w:rFonts w:ascii="Times New Roman" w:eastAsia="SimSun" w:hAnsi="Times New Roman" w:cs="Times New Roman"/>
              </w:rPr>
              <w:t>描述的是一个动作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梁远志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中等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使用</w:t>
            </w:r>
            <w:r>
              <w:rPr>
                <w:rFonts w:ascii="Times New Roman" w:eastAsia="SimSun" w:hAnsi="Times New Roman" w:cs="Times New Roman"/>
              </w:rPr>
              <w:t>“</w:t>
            </w:r>
            <w:r>
              <w:rPr>
                <w:rFonts w:ascii="Times New Roman" w:eastAsia="SimSun" w:hAnsi="Times New Roman" w:cs="Times New Roman"/>
              </w:rPr>
              <w:t>将会能够</w:t>
            </w:r>
            <w:r>
              <w:rPr>
                <w:rFonts w:ascii="Times New Roman" w:eastAsia="SimSun" w:hAnsi="Times New Roman" w:cs="Times New Roman"/>
              </w:rPr>
              <w:t>”</w:t>
            </w:r>
            <w:r>
              <w:rPr>
                <w:rFonts w:ascii="Times New Roman" w:eastAsia="SimSun" w:hAnsi="Times New Roman" w:cs="Times New Roman"/>
              </w:rPr>
              <w:t>的句式表示状态</w:t>
            </w:r>
          </w:p>
        </w:tc>
        <w:tc>
          <w:tcPr>
            <w:tcW w:w="1630" w:type="dxa"/>
          </w:tcPr>
          <w:p w:rsidR="001F5469" w:rsidRDefault="002C2312">
            <w:r>
              <w:rPr>
                <w:rFonts w:ascii="Times New Roman" w:eastAsia="SimSun" w:hAnsi="Times New Roman" w:cs="Times New Roman"/>
              </w:rPr>
              <w:t>接受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16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3.3.9</w:t>
            </w:r>
            <w:r>
              <w:rPr>
                <w:rFonts w:ascii="Times New Roman" w:eastAsia="SimSun" w:hAnsi="Times New Roman" w:cs="Times New Roman"/>
              </w:rPr>
              <w:t>等多处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表</w:t>
            </w:r>
            <w:r>
              <w:rPr>
                <w:rFonts w:ascii="Times New Roman" w:eastAsia="SimSun" w:hAnsi="Times New Roman" w:cs="Times New Roman"/>
              </w:rPr>
              <w:t>19</w:t>
            </w:r>
            <w:r>
              <w:rPr>
                <w:rFonts w:ascii="Times New Roman" w:eastAsia="SimSun" w:hAnsi="Times New Roman" w:cs="Times New Roman"/>
              </w:rPr>
              <w:t>中</w:t>
            </w:r>
            <w:r>
              <w:rPr>
                <w:rFonts w:ascii="Times New Roman" w:eastAsia="SimSun" w:hAnsi="Times New Roman" w:cs="Times New Roman"/>
              </w:rPr>
              <w:t>Step 5</w:t>
            </w:r>
            <w:r>
              <w:rPr>
                <w:rFonts w:ascii="Times New Roman" w:eastAsia="SimSun" w:hAnsi="Times New Roman" w:cs="Times New Roman"/>
              </w:rPr>
              <w:t>描述用户操作使用了</w:t>
            </w:r>
            <w:r>
              <w:rPr>
                <w:rFonts w:ascii="Times New Roman" w:eastAsia="SimSun" w:hAnsi="Times New Roman" w:cs="Times New Roman"/>
              </w:rPr>
              <w:t>“</w:t>
            </w:r>
            <w:r>
              <w:rPr>
                <w:rFonts w:ascii="Times New Roman" w:eastAsia="SimSun" w:hAnsi="Times New Roman" w:cs="Times New Roman"/>
              </w:rPr>
              <w:t>同时</w:t>
            </w:r>
            <w:r>
              <w:rPr>
                <w:rFonts w:ascii="Times New Roman" w:eastAsia="SimSun" w:hAnsi="Times New Roman" w:cs="Times New Roman"/>
              </w:rPr>
              <w:t>”</w:t>
            </w:r>
            <w:r>
              <w:rPr>
                <w:rFonts w:ascii="Times New Roman" w:eastAsia="SimSun" w:hAnsi="Times New Roman" w:cs="Times New Roman"/>
              </w:rPr>
              <w:t>不合理。用户作为真人难以同时进行两个选择操作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梁远志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中等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建议使用简单的名词并列</w:t>
            </w:r>
          </w:p>
        </w:tc>
        <w:tc>
          <w:tcPr>
            <w:tcW w:w="1630" w:type="dxa"/>
          </w:tcPr>
          <w:p w:rsidR="001F5469" w:rsidRDefault="002C2312">
            <w:r>
              <w:rPr>
                <w:rFonts w:ascii="Times New Roman" w:eastAsia="SimSun" w:hAnsi="Times New Roman" w:cs="Times New Roman"/>
              </w:rPr>
              <w:t>接受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17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3.3.10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表</w:t>
            </w:r>
            <w:r>
              <w:rPr>
                <w:rFonts w:ascii="Times New Roman" w:eastAsia="SimSun" w:hAnsi="Times New Roman" w:cs="Times New Roman"/>
              </w:rPr>
              <w:t>20</w:t>
            </w:r>
            <w:r>
              <w:rPr>
                <w:rFonts w:ascii="Times New Roman" w:eastAsia="SimSun" w:hAnsi="Times New Roman" w:cs="Times New Roman"/>
              </w:rPr>
              <w:t>中</w:t>
            </w:r>
            <w:r>
              <w:rPr>
                <w:rFonts w:ascii="Times New Roman" w:eastAsia="SimSun" w:hAnsi="Times New Roman" w:cs="Times New Roman"/>
              </w:rPr>
              <w:t>Precondition</w:t>
            </w:r>
            <w:r>
              <w:rPr>
                <w:rFonts w:ascii="Times New Roman" w:eastAsia="SimSun" w:hAnsi="Times New Roman" w:cs="Times New Roman"/>
              </w:rPr>
              <w:t>中使用逗号表示名词并列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梁远志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轻微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改用顿号</w:t>
            </w:r>
          </w:p>
        </w:tc>
        <w:tc>
          <w:tcPr>
            <w:tcW w:w="1630" w:type="dxa"/>
          </w:tcPr>
          <w:p w:rsidR="001F5469" w:rsidRDefault="002C2312">
            <w:r>
              <w:rPr>
                <w:rFonts w:ascii="Times New Roman" w:eastAsia="SimSun" w:hAnsi="Times New Roman" w:cs="Times New Roman"/>
              </w:rPr>
              <w:t>接受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18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3.3.11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表</w:t>
            </w:r>
            <w:r>
              <w:rPr>
                <w:rFonts w:ascii="Times New Roman" w:eastAsia="SimSun" w:hAnsi="Times New Roman" w:cs="Times New Roman"/>
              </w:rPr>
              <w:t>21</w:t>
            </w:r>
            <w:r>
              <w:rPr>
                <w:rFonts w:ascii="Times New Roman" w:eastAsia="SimSun" w:hAnsi="Times New Roman" w:cs="Times New Roman"/>
              </w:rPr>
              <w:t>中</w:t>
            </w:r>
            <w:r>
              <w:rPr>
                <w:rFonts w:ascii="Times New Roman" w:eastAsia="SimSun" w:hAnsi="Times New Roman" w:cs="Times New Roman"/>
              </w:rPr>
              <w:t>Step 4</w:t>
            </w:r>
            <w:r>
              <w:rPr>
                <w:rFonts w:ascii="Times New Roman" w:eastAsia="SimSun" w:hAnsi="Times New Roman" w:cs="Times New Roman"/>
              </w:rPr>
              <w:t>使用了一半角逗号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梁远志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轻微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改用全角逗号</w:t>
            </w:r>
          </w:p>
        </w:tc>
        <w:tc>
          <w:tcPr>
            <w:tcW w:w="1630" w:type="dxa"/>
          </w:tcPr>
          <w:p w:rsidR="001F5469" w:rsidRDefault="002C2312">
            <w:r>
              <w:rPr>
                <w:rFonts w:ascii="Times New Roman" w:eastAsia="SimSun" w:hAnsi="Times New Roman" w:cs="Times New Roman"/>
              </w:rPr>
              <w:t>部分接受，已经是全角逗号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19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3.3.17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表</w:t>
            </w:r>
            <w:r>
              <w:rPr>
                <w:rFonts w:ascii="Times New Roman" w:eastAsia="SimSun" w:hAnsi="Times New Roman" w:cs="Times New Roman"/>
              </w:rPr>
              <w:t>27</w:t>
            </w:r>
            <w:r>
              <w:rPr>
                <w:rFonts w:ascii="Times New Roman" w:eastAsia="SimSun" w:hAnsi="Times New Roman" w:cs="Times New Roman"/>
              </w:rPr>
              <w:t>中</w:t>
            </w:r>
            <w:r>
              <w:rPr>
                <w:rFonts w:ascii="Times New Roman" w:eastAsia="SimSun" w:hAnsi="Times New Roman" w:cs="Times New Roman"/>
              </w:rPr>
              <w:t>Step 4</w:t>
            </w:r>
            <w:r>
              <w:rPr>
                <w:rFonts w:ascii="Times New Roman" w:eastAsia="SimSun" w:hAnsi="Times New Roman" w:cs="Times New Roman"/>
              </w:rPr>
              <w:t>中括号内的内容应为</w:t>
            </w:r>
            <w:r>
              <w:rPr>
                <w:rFonts w:ascii="Times New Roman" w:eastAsia="SimSun" w:hAnsi="Times New Roman" w:cs="Times New Roman"/>
              </w:rPr>
              <w:t>Postcondition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梁远志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中等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移至</w:t>
            </w:r>
            <w:r>
              <w:rPr>
                <w:rFonts w:ascii="Times New Roman" w:eastAsia="SimSun" w:hAnsi="Times New Roman" w:cs="Times New Roman"/>
              </w:rPr>
              <w:t>Postcondition</w:t>
            </w:r>
          </w:p>
        </w:tc>
        <w:tc>
          <w:tcPr>
            <w:tcW w:w="1630" w:type="dxa"/>
          </w:tcPr>
          <w:p w:rsidR="001F5469" w:rsidRDefault="002C2312">
            <w:r>
              <w:rPr>
                <w:rFonts w:ascii="Times New Roman" w:eastAsia="SimSun" w:hAnsi="Times New Roman" w:cs="Times New Roman"/>
              </w:rPr>
              <w:t>接受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20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3.4.2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第（</w:t>
            </w:r>
            <w:r>
              <w:rPr>
                <w:rFonts w:ascii="Times New Roman" w:eastAsia="SimSun" w:hAnsi="Times New Roman" w:cs="Times New Roman"/>
              </w:rPr>
              <w:t>2</w:t>
            </w:r>
            <w:r>
              <w:rPr>
                <w:rFonts w:ascii="Times New Roman" w:eastAsia="SimSun" w:hAnsi="Times New Roman" w:cs="Times New Roman"/>
              </w:rPr>
              <w:t>）点的描述的是</w:t>
            </w:r>
            <w:r>
              <w:rPr>
                <w:rFonts w:ascii="Times New Roman" w:eastAsia="SimSun" w:hAnsi="Times New Roman" w:cs="Times New Roman"/>
              </w:rPr>
              <w:t>Node.js</w:t>
            </w:r>
            <w:r>
              <w:rPr>
                <w:rFonts w:ascii="Times New Roman" w:eastAsia="SimSun" w:hAnsi="Times New Roman" w:cs="Times New Roman"/>
              </w:rPr>
              <w:t>的能力，而不能解释</w:t>
            </w:r>
            <w:r>
              <w:rPr>
                <w:rFonts w:ascii="Times New Roman" w:eastAsia="SimSun" w:hAnsi="Times New Roman" w:cs="Times New Roman"/>
              </w:rPr>
              <w:t>“</w:t>
            </w:r>
            <w:r>
              <w:rPr>
                <w:rFonts w:ascii="Times New Roman" w:eastAsia="SimSun" w:hAnsi="Times New Roman" w:cs="Times New Roman"/>
              </w:rPr>
              <w:t>支持并发运行</w:t>
            </w:r>
            <w:r>
              <w:rPr>
                <w:rFonts w:ascii="Times New Roman" w:eastAsia="SimSun" w:hAnsi="Times New Roman" w:cs="Times New Roman"/>
              </w:rPr>
              <w:t>”</w:t>
            </w:r>
            <w:r>
              <w:rPr>
                <w:rFonts w:ascii="Times New Roman" w:eastAsia="SimSun" w:hAnsi="Times New Roman" w:cs="Times New Roman"/>
              </w:rPr>
              <w:t>的需求。语言的并行</w:t>
            </w:r>
            <w:r>
              <w:rPr>
                <w:rFonts w:ascii="Times New Roman" w:eastAsia="SimSun" w:hAnsi="Times New Roman" w:cs="Times New Roman"/>
              </w:rPr>
              <w:t>I/O</w:t>
            </w:r>
            <w:r>
              <w:rPr>
                <w:rFonts w:ascii="Times New Roman" w:eastAsia="SimSun" w:hAnsi="Times New Roman" w:cs="Times New Roman"/>
              </w:rPr>
              <w:t>（</w:t>
            </w:r>
            <w:r>
              <w:rPr>
                <w:rFonts w:ascii="Times New Roman" w:eastAsia="SimSun" w:hAnsi="Times New Roman" w:cs="Times New Roman"/>
              </w:rPr>
              <w:t>parallel</w:t>
            </w:r>
            <w:r>
              <w:rPr>
                <w:rFonts w:ascii="Times New Roman" w:eastAsia="SimSun" w:hAnsi="Times New Roman" w:cs="Times New Roman"/>
              </w:rPr>
              <w:t>）和并发（</w:t>
            </w:r>
            <w:r>
              <w:rPr>
                <w:rFonts w:ascii="Times New Roman" w:eastAsia="SimSun" w:hAnsi="Times New Roman" w:cs="Times New Roman"/>
              </w:rPr>
              <w:t>concurrent</w:t>
            </w:r>
            <w:r>
              <w:rPr>
                <w:rFonts w:ascii="Times New Roman" w:eastAsia="SimSun" w:hAnsi="Times New Roman" w:cs="Times New Roman"/>
              </w:rPr>
              <w:t>）概念不同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梁远志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中等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修改相关的描述，或修改要点题目</w:t>
            </w:r>
          </w:p>
        </w:tc>
        <w:tc>
          <w:tcPr>
            <w:tcW w:w="1630" w:type="dxa"/>
          </w:tcPr>
          <w:p w:rsidR="001F5469" w:rsidRDefault="002C2312">
            <w:r>
              <w:rPr>
                <w:rFonts w:ascii="Times New Roman" w:eastAsia="SimSun" w:hAnsi="Times New Roman" w:cs="Times New Roman"/>
              </w:rPr>
              <w:t>接受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21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3.4.3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“</w:t>
            </w:r>
            <w:r>
              <w:rPr>
                <w:rFonts w:ascii="Times New Roman" w:eastAsia="SimSun" w:hAnsi="Times New Roman" w:cs="Times New Roman"/>
              </w:rPr>
              <w:t>系统应该能正确的处理，恰当的回避</w:t>
            </w:r>
            <w:r>
              <w:rPr>
                <w:rFonts w:ascii="Times New Roman" w:eastAsia="SimSun" w:hAnsi="Times New Roman" w:cs="Times New Roman"/>
              </w:rPr>
              <w:t>”</w:t>
            </w:r>
            <w:r>
              <w:rPr>
                <w:rFonts w:ascii="Times New Roman" w:eastAsia="SimSun" w:hAnsi="Times New Roman" w:cs="Times New Roman"/>
              </w:rPr>
              <w:t>应使用</w:t>
            </w:r>
            <w:r>
              <w:rPr>
                <w:rFonts w:ascii="Times New Roman" w:eastAsia="SimSun" w:hAnsi="Times New Roman" w:cs="Times New Roman"/>
              </w:rPr>
              <w:t>“</w:t>
            </w:r>
            <w:r>
              <w:rPr>
                <w:rFonts w:ascii="Times New Roman" w:eastAsia="SimSun" w:hAnsi="Times New Roman" w:cs="Times New Roman"/>
              </w:rPr>
              <w:t>地</w:t>
            </w:r>
            <w:r>
              <w:rPr>
                <w:rFonts w:ascii="Times New Roman" w:eastAsia="SimSun" w:hAnsi="Times New Roman" w:cs="Times New Roman"/>
              </w:rPr>
              <w:t>”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梁远志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轻微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修改为</w:t>
            </w:r>
            <w:r>
              <w:rPr>
                <w:rFonts w:ascii="Times New Roman" w:eastAsia="SimSun" w:hAnsi="Times New Roman" w:cs="Times New Roman"/>
              </w:rPr>
              <w:t>“</w:t>
            </w:r>
            <w:r>
              <w:rPr>
                <w:rFonts w:ascii="Times New Roman" w:eastAsia="SimSun" w:hAnsi="Times New Roman" w:cs="Times New Roman"/>
              </w:rPr>
              <w:t>地</w:t>
            </w:r>
            <w:r>
              <w:rPr>
                <w:rFonts w:ascii="Times New Roman" w:eastAsia="SimSun" w:hAnsi="Times New Roman" w:cs="Times New Roman"/>
              </w:rPr>
              <w:t>”</w:t>
            </w:r>
          </w:p>
        </w:tc>
        <w:tc>
          <w:tcPr>
            <w:tcW w:w="1630" w:type="dxa"/>
          </w:tcPr>
          <w:p w:rsidR="001F5469" w:rsidRDefault="002C2312">
            <w:r>
              <w:rPr>
                <w:rFonts w:ascii="Times New Roman" w:eastAsia="SimSun" w:hAnsi="Times New Roman" w:cs="Times New Roman"/>
              </w:rPr>
              <w:t>接受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lastRenderedPageBreak/>
              <w:t>22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3.4.5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“</w:t>
            </w:r>
            <w:r>
              <w:rPr>
                <w:rFonts w:ascii="Times New Roman" w:eastAsia="SimSun" w:hAnsi="Times New Roman" w:cs="Times New Roman"/>
              </w:rPr>
              <w:t>节点的配置项支持各种下拉选项</w:t>
            </w:r>
            <w:r>
              <w:rPr>
                <w:rFonts w:ascii="Times New Roman" w:eastAsia="SimSun" w:hAnsi="Times New Roman" w:cs="Times New Roman"/>
              </w:rPr>
              <w:t>”</w:t>
            </w:r>
            <w:r>
              <w:rPr>
                <w:rFonts w:ascii="Times New Roman" w:eastAsia="SimSun" w:hAnsi="Times New Roman" w:cs="Times New Roman"/>
              </w:rPr>
              <w:t>表示用户的功能性操作，不是易用性的非功能需求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梁远志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中等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删除这一描述</w:t>
            </w:r>
          </w:p>
        </w:tc>
        <w:tc>
          <w:tcPr>
            <w:tcW w:w="1630" w:type="dxa"/>
          </w:tcPr>
          <w:p w:rsidR="001F5469" w:rsidRDefault="002C2312">
            <w:r>
              <w:rPr>
                <w:rFonts w:ascii="Times New Roman" w:eastAsia="SimSun" w:hAnsi="Times New Roman" w:cs="Times New Roman"/>
              </w:rPr>
              <w:t>接受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23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3.4.5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“</w:t>
            </w:r>
            <w:r>
              <w:rPr>
                <w:rFonts w:ascii="Times New Roman" w:eastAsia="SimSun" w:hAnsi="Times New Roman" w:cs="Times New Roman"/>
              </w:rPr>
              <w:t>用户友好程度</w:t>
            </w:r>
            <w:r>
              <w:rPr>
                <w:rFonts w:ascii="Times New Roman" w:eastAsia="SimSun" w:hAnsi="Times New Roman" w:cs="Times New Roman"/>
              </w:rPr>
              <w:t>Max”</w:t>
            </w:r>
            <w:r>
              <w:rPr>
                <w:rFonts w:ascii="Times New Roman" w:eastAsia="SimSun" w:hAnsi="Times New Roman" w:cs="Times New Roman"/>
              </w:rPr>
              <w:t>非正式性的书面用于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梁远志</w:t>
            </w:r>
          </w:p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宋冰晨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中等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书面化这一描述</w:t>
            </w:r>
          </w:p>
        </w:tc>
        <w:tc>
          <w:tcPr>
            <w:tcW w:w="1630" w:type="dxa"/>
          </w:tcPr>
          <w:p w:rsidR="001F5469" w:rsidRDefault="002C2312">
            <w:r>
              <w:rPr>
                <w:rFonts w:ascii="Times New Roman" w:eastAsia="SimSun" w:hAnsi="Times New Roman" w:cs="Times New Roman"/>
              </w:rPr>
              <w:t>接受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24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4.1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硬件要求中的</w:t>
            </w:r>
            <w:r>
              <w:rPr>
                <w:rFonts w:ascii="Times New Roman" w:eastAsia="SimSun" w:hAnsi="Times New Roman" w:cs="Times New Roman"/>
              </w:rPr>
              <w:t>“</w:t>
            </w:r>
            <w:r>
              <w:rPr>
                <w:rFonts w:ascii="Times New Roman" w:eastAsia="SimSun" w:hAnsi="Times New Roman" w:cs="Times New Roman"/>
              </w:rPr>
              <w:t>具有基本家用办公性能的处理器</w:t>
            </w:r>
            <w:r>
              <w:rPr>
                <w:rFonts w:ascii="Times New Roman" w:eastAsia="SimSun" w:hAnsi="Times New Roman" w:cs="Times New Roman"/>
              </w:rPr>
              <w:t>”</w:t>
            </w:r>
            <w:r>
              <w:rPr>
                <w:rFonts w:ascii="Times New Roman" w:eastAsia="SimSun" w:hAnsi="Times New Roman" w:cs="Times New Roman"/>
              </w:rPr>
              <w:t>不是一个良好定义的处理器性能的硬件要求。应使用核心数量、主频等指标或给出基准性能的处理器型号，建议直接写</w:t>
            </w:r>
            <w:r>
              <w:rPr>
                <w:rFonts w:ascii="Times New Roman" w:eastAsia="SimSun" w:hAnsi="Times New Roman" w:cs="Times New Roman"/>
              </w:rPr>
              <w:t>Raspberry Pi 4</w:t>
            </w:r>
            <w:r>
              <w:rPr>
                <w:rFonts w:ascii="Times New Roman" w:eastAsia="SimSun" w:hAnsi="Times New Roman" w:cs="Times New Roman"/>
              </w:rPr>
              <w:t>就好；应对操作系统提出要求，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梁远志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轻微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参照描述作出修改</w:t>
            </w:r>
          </w:p>
          <w:p w:rsidR="001F5469" w:rsidRDefault="001F5469"/>
        </w:tc>
        <w:tc>
          <w:tcPr>
            <w:tcW w:w="1630" w:type="dxa"/>
          </w:tcPr>
          <w:p w:rsidR="001F5469" w:rsidRDefault="002C2312">
            <w:r>
              <w:rPr>
                <w:rFonts w:ascii="Times New Roman" w:eastAsia="SimSun" w:hAnsi="Times New Roman" w:cs="Times New Roman"/>
              </w:rPr>
              <w:t>部分接受，操作系统要求在软件要求中描述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25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4.2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术语</w:t>
            </w:r>
            <w:r>
              <w:rPr>
                <w:rFonts w:ascii="Times New Roman" w:eastAsia="SimSun" w:hAnsi="Times New Roman" w:cs="Times New Roman"/>
              </w:rPr>
              <w:t>“linux”</w:t>
            </w:r>
            <w:r>
              <w:rPr>
                <w:rFonts w:ascii="Times New Roman" w:eastAsia="SimSun" w:hAnsi="Times New Roman" w:cs="Times New Roman"/>
              </w:rPr>
              <w:t>和术语</w:t>
            </w:r>
            <w:r>
              <w:rPr>
                <w:rFonts w:ascii="Times New Roman" w:eastAsia="SimSun" w:hAnsi="Times New Roman" w:cs="Times New Roman"/>
              </w:rPr>
              <w:t>“MacOS”</w:t>
            </w:r>
            <w:r>
              <w:rPr>
                <w:rFonts w:ascii="Times New Roman" w:eastAsia="SimSun" w:hAnsi="Times New Roman" w:cs="Times New Roman"/>
              </w:rPr>
              <w:t>应与前文一致改为</w:t>
            </w:r>
            <w:r>
              <w:rPr>
                <w:rFonts w:ascii="Times New Roman" w:eastAsia="SimSun" w:hAnsi="Times New Roman" w:cs="Times New Roman"/>
              </w:rPr>
              <w:t>“Linux”</w:t>
            </w:r>
            <w:r>
              <w:rPr>
                <w:rFonts w:ascii="Times New Roman" w:eastAsia="SimSun" w:hAnsi="Times New Roman" w:cs="Times New Roman"/>
              </w:rPr>
              <w:t>和</w:t>
            </w:r>
            <w:r>
              <w:rPr>
                <w:rFonts w:ascii="Times New Roman" w:eastAsia="SimSun" w:hAnsi="Times New Roman" w:cs="Times New Roman"/>
              </w:rPr>
              <w:t>“macOS”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梁远志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轻微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统一大小写</w:t>
            </w:r>
          </w:p>
        </w:tc>
        <w:tc>
          <w:tcPr>
            <w:tcW w:w="1630" w:type="dxa"/>
          </w:tcPr>
          <w:p w:rsidR="001F5469" w:rsidRDefault="002C2312">
            <w:r>
              <w:rPr>
                <w:rFonts w:ascii="Times New Roman" w:eastAsia="SimSun" w:hAnsi="Times New Roman" w:cs="Times New Roman"/>
              </w:rPr>
              <w:t>接受</w:t>
            </w:r>
          </w:p>
          <w:p w:rsidR="001F5469" w:rsidRDefault="001F5469"/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26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封面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没有版本号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宋冰晨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轻微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建议增加版本号</w:t>
            </w:r>
          </w:p>
        </w:tc>
        <w:tc>
          <w:tcPr>
            <w:tcW w:w="1630" w:type="dxa"/>
          </w:tcPr>
          <w:p w:rsidR="001F5469" w:rsidRDefault="002C2312">
            <w:r>
              <w:rPr>
                <w:rFonts w:ascii="Times New Roman" w:eastAsia="SimSun" w:hAnsi="Times New Roman" w:cs="Times New Roman"/>
              </w:rPr>
              <w:t>接受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27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封面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日期不是最新更新日期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宋冰晨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轻微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建议更新封面日期</w:t>
            </w:r>
          </w:p>
        </w:tc>
        <w:tc>
          <w:tcPr>
            <w:tcW w:w="1630" w:type="dxa"/>
          </w:tcPr>
          <w:p w:rsidR="001F5469" w:rsidRDefault="002C2312">
            <w:r>
              <w:rPr>
                <w:rFonts w:ascii="Times New Roman" w:eastAsia="SimSun" w:hAnsi="Times New Roman" w:cs="Times New Roman"/>
              </w:rPr>
              <w:t>接受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28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目录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页码和章节编码不是同一种字体，页码为等线，而章节编码为</w:t>
            </w:r>
            <w:r>
              <w:rPr>
                <w:rFonts w:ascii="Times New Roman" w:eastAsia="SimSun" w:hAnsi="Times New Roman" w:cs="Times New Roman"/>
              </w:rPr>
              <w:t>Times New Roman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宋冰晨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轻微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建议统一字体</w:t>
            </w:r>
          </w:p>
        </w:tc>
        <w:tc>
          <w:tcPr>
            <w:tcW w:w="1630" w:type="dxa"/>
          </w:tcPr>
          <w:p w:rsidR="006054DD" w:rsidRDefault="006054DD" w:rsidP="006054DD">
            <w:r>
              <w:rPr>
                <w:rFonts w:ascii="Times New Roman" w:eastAsia="SimSun" w:hAnsi="Times New Roman" w:cs="Times New Roman"/>
              </w:rPr>
              <w:t>接受</w:t>
            </w:r>
          </w:p>
          <w:p w:rsidR="001F5469" w:rsidRDefault="001F5469"/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29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目录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按住</w:t>
            </w:r>
            <w:r>
              <w:rPr>
                <w:rFonts w:ascii="Times New Roman" w:eastAsia="SimSun" w:hAnsi="Times New Roman" w:cs="Times New Roman"/>
              </w:rPr>
              <w:t>ctrl</w:t>
            </w:r>
            <w:r>
              <w:rPr>
                <w:rFonts w:ascii="Times New Roman" w:eastAsia="SimSun" w:hAnsi="Times New Roman" w:cs="Times New Roman"/>
              </w:rPr>
              <w:t>后单击无法正常跳转到指定章节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宋冰晨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轻微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建议修改</w:t>
            </w:r>
          </w:p>
        </w:tc>
        <w:tc>
          <w:tcPr>
            <w:tcW w:w="1630" w:type="dxa"/>
          </w:tcPr>
          <w:p w:rsidR="006054DD" w:rsidRDefault="006054DD" w:rsidP="006054DD">
            <w:r>
              <w:rPr>
                <w:rFonts w:ascii="Times New Roman" w:eastAsia="SimSun" w:hAnsi="Times New Roman" w:cs="Times New Roman"/>
              </w:rPr>
              <w:t>接受</w:t>
            </w:r>
          </w:p>
          <w:p w:rsidR="001F5469" w:rsidRDefault="001F5469"/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30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页脚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页脚中编码和章节编码不是同一种字体，页脚中编码为等线，而章节编码为</w:t>
            </w:r>
            <w:r>
              <w:rPr>
                <w:rFonts w:ascii="Times New Roman" w:eastAsia="SimSun" w:hAnsi="Times New Roman" w:cs="Times New Roman"/>
              </w:rPr>
              <w:t>Times New Roman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宋冰晨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轻微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建议统一字体</w:t>
            </w:r>
          </w:p>
        </w:tc>
        <w:tc>
          <w:tcPr>
            <w:tcW w:w="1630" w:type="dxa"/>
          </w:tcPr>
          <w:p w:rsidR="006054DD" w:rsidRDefault="006054DD" w:rsidP="006054DD">
            <w:r>
              <w:rPr>
                <w:rFonts w:ascii="Times New Roman" w:eastAsia="SimSun" w:hAnsi="Times New Roman" w:cs="Times New Roman"/>
              </w:rPr>
              <w:t>接受</w:t>
            </w:r>
          </w:p>
          <w:p w:rsidR="001F5469" w:rsidRDefault="001F5469"/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31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1.2.1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“</w:t>
            </w:r>
            <w:r>
              <w:rPr>
                <w:rFonts w:ascii="Times New Roman" w:eastAsia="SimSun" w:hAnsi="Times New Roman" w:cs="Times New Roman"/>
              </w:rPr>
              <w:t>大量存在不完整性、不正确性的软件</w:t>
            </w:r>
            <w:r>
              <w:rPr>
                <w:rFonts w:ascii="Times New Roman" w:eastAsia="SimSun" w:hAnsi="Times New Roman" w:cs="Times New Roman"/>
              </w:rPr>
              <w:t>”</w:t>
            </w:r>
            <w:r>
              <w:rPr>
                <w:rFonts w:ascii="Times New Roman" w:eastAsia="SimSun" w:hAnsi="Times New Roman" w:cs="Times New Roman"/>
              </w:rPr>
              <w:t>，其中不完整性和不正确性都是名词，用作形容词不够恰当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宋冰晨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轻微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建议修改为</w:t>
            </w:r>
            <w:r>
              <w:rPr>
                <w:rFonts w:ascii="Times New Roman" w:eastAsia="SimSun" w:hAnsi="Times New Roman" w:cs="Times New Roman"/>
              </w:rPr>
              <w:t>“</w:t>
            </w:r>
            <w:r>
              <w:rPr>
                <w:rFonts w:ascii="Times New Roman" w:eastAsia="SimSun" w:hAnsi="Times New Roman" w:cs="Times New Roman"/>
              </w:rPr>
              <w:t>现实情况是，存在大量功能不完整、不正确的问题的软件。这都是源</w:t>
            </w:r>
            <w:r>
              <w:rPr>
                <w:rFonts w:ascii="Times New Roman" w:eastAsia="SimSun" w:hAnsi="Times New Roman" w:cs="Times New Roman"/>
              </w:rPr>
              <w:lastRenderedPageBreak/>
              <w:t>自于不恰当的软件需求分析</w:t>
            </w:r>
            <w:r>
              <w:rPr>
                <w:rFonts w:ascii="Times New Roman" w:eastAsia="SimSun" w:hAnsi="Times New Roman" w:cs="Times New Roman"/>
              </w:rPr>
              <w:t>”</w:t>
            </w:r>
          </w:p>
        </w:tc>
        <w:tc>
          <w:tcPr>
            <w:tcW w:w="1630" w:type="dxa"/>
          </w:tcPr>
          <w:p w:rsidR="001F5469" w:rsidRDefault="002C2312">
            <w:r>
              <w:rPr>
                <w:rFonts w:ascii="Times New Roman" w:eastAsia="SimSun" w:hAnsi="Times New Roman" w:cs="Times New Roman"/>
              </w:rPr>
              <w:lastRenderedPageBreak/>
              <w:t>接受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lastRenderedPageBreak/>
              <w:t>32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2.2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低代码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宋冰晨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轻微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建议在</w:t>
            </w:r>
            <w:r>
              <w:rPr>
                <w:rFonts w:ascii="Times New Roman" w:eastAsia="SimSun" w:hAnsi="Times New Roman" w:cs="Times New Roman"/>
              </w:rPr>
              <w:t>1.5</w:t>
            </w:r>
            <w:r>
              <w:rPr>
                <w:rFonts w:ascii="Times New Roman" w:eastAsia="SimSun" w:hAnsi="Times New Roman" w:cs="Times New Roman"/>
              </w:rPr>
              <w:t>节补充</w:t>
            </w:r>
            <w:r>
              <w:rPr>
                <w:rFonts w:ascii="Times New Roman" w:eastAsia="SimSun" w:hAnsi="Times New Roman" w:cs="Times New Roman"/>
              </w:rPr>
              <w:t>“</w:t>
            </w:r>
            <w:r>
              <w:rPr>
                <w:rFonts w:ascii="Times New Roman" w:eastAsia="SimSun" w:hAnsi="Times New Roman" w:cs="Times New Roman"/>
              </w:rPr>
              <w:t>低代码</w:t>
            </w:r>
            <w:r>
              <w:rPr>
                <w:rFonts w:ascii="Times New Roman" w:eastAsia="SimSun" w:hAnsi="Times New Roman" w:cs="Times New Roman"/>
              </w:rPr>
              <w:t>”</w:t>
            </w:r>
            <w:r>
              <w:rPr>
                <w:rFonts w:ascii="Times New Roman" w:eastAsia="SimSun" w:hAnsi="Times New Roman" w:cs="Times New Roman"/>
              </w:rPr>
              <w:t>的描述</w:t>
            </w:r>
          </w:p>
        </w:tc>
        <w:tc>
          <w:tcPr>
            <w:tcW w:w="1630" w:type="dxa"/>
          </w:tcPr>
          <w:p w:rsidR="001F5469" w:rsidRDefault="002C2312">
            <w:r>
              <w:rPr>
                <w:rFonts w:ascii="Times New Roman" w:eastAsia="SimSun" w:hAnsi="Times New Roman" w:cs="Times New Roman"/>
              </w:rPr>
              <w:t>接受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33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2.4.2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“</w:t>
            </w:r>
            <w:r>
              <w:rPr>
                <w:rFonts w:ascii="Times New Roman" w:eastAsia="SimSun" w:hAnsi="Times New Roman" w:cs="Times New Roman"/>
              </w:rPr>
              <w:t>二次开发者分为开发拓展包用例和发布拓展包用例</w:t>
            </w:r>
            <w:r>
              <w:rPr>
                <w:rFonts w:ascii="Times New Roman" w:eastAsia="SimSun" w:hAnsi="Times New Roman" w:cs="Times New Roman"/>
              </w:rPr>
              <w:t>”</w:t>
            </w:r>
            <w:r>
              <w:rPr>
                <w:rFonts w:ascii="Times New Roman" w:eastAsia="SimSun" w:hAnsi="Times New Roman" w:cs="Times New Roman"/>
              </w:rPr>
              <w:t>，其中二次开发者是用户，</w:t>
            </w:r>
            <w:r>
              <w:rPr>
                <w:rFonts w:ascii="Times New Roman" w:eastAsia="SimSun" w:hAnsi="Times New Roman" w:cs="Times New Roman"/>
              </w:rPr>
              <w:t>“</w:t>
            </w:r>
            <w:r>
              <w:rPr>
                <w:rFonts w:ascii="Times New Roman" w:eastAsia="SimSun" w:hAnsi="Times New Roman" w:cs="Times New Roman"/>
              </w:rPr>
              <w:t>分为两个用例</w:t>
            </w:r>
            <w:r>
              <w:rPr>
                <w:rFonts w:ascii="Times New Roman" w:eastAsia="SimSun" w:hAnsi="Times New Roman" w:cs="Times New Roman"/>
              </w:rPr>
              <w:t>”</w:t>
            </w:r>
            <w:r>
              <w:rPr>
                <w:rFonts w:ascii="Times New Roman" w:eastAsia="SimSun" w:hAnsi="Times New Roman" w:cs="Times New Roman"/>
              </w:rPr>
              <w:t>表述不妥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宋冰晨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轻微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建议修改为</w:t>
            </w:r>
            <w:r>
              <w:rPr>
                <w:rFonts w:ascii="Times New Roman" w:eastAsia="SimSun" w:hAnsi="Times New Roman" w:cs="Times New Roman"/>
              </w:rPr>
              <w:t>“</w:t>
            </w:r>
            <w:r>
              <w:rPr>
                <w:rFonts w:ascii="Times New Roman" w:eastAsia="SimSun" w:hAnsi="Times New Roman" w:cs="Times New Roman"/>
              </w:rPr>
              <w:t>二次开发者可以执行开发拓展包用例和发布拓展包用例</w:t>
            </w:r>
            <w:r>
              <w:rPr>
                <w:rFonts w:ascii="Times New Roman" w:eastAsia="SimSun" w:hAnsi="Times New Roman" w:cs="Times New Roman"/>
              </w:rPr>
              <w:t>”</w:t>
            </w:r>
          </w:p>
        </w:tc>
        <w:tc>
          <w:tcPr>
            <w:tcW w:w="1630" w:type="dxa"/>
          </w:tcPr>
          <w:p w:rsidR="001F5469" w:rsidRDefault="002C2312">
            <w:r>
              <w:rPr>
                <w:rFonts w:ascii="Times New Roman" w:eastAsia="SimSun" w:hAnsi="Times New Roman" w:cs="Times New Roman"/>
              </w:rPr>
              <w:t>接受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34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3.4.2(1)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“</w:t>
            </w:r>
            <w:r>
              <w:rPr>
                <w:rFonts w:ascii="Times New Roman" w:eastAsia="SimSun" w:hAnsi="Times New Roman" w:cs="Times New Roman"/>
              </w:rPr>
              <w:t>在低成本硬件如</w:t>
            </w:r>
            <w:r>
              <w:rPr>
                <w:rFonts w:ascii="Times New Roman" w:eastAsia="SimSun" w:hAnsi="Times New Roman" w:cs="Times New Roman"/>
              </w:rPr>
              <w:t>Raspberry Pi</w:t>
            </w:r>
            <w:r>
              <w:rPr>
                <w:rFonts w:ascii="Times New Roman" w:eastAsia="SimSun" w:hAnsi="Times New Roman" w:cs="Times New Roman"/>
              </w:rPr>
              <w:t>等上的网络边缘</w:t>
            </w:r>
            <w:r>
              <w:rPr>
                <w:rFonts w:ascii="Times New Roman" w:eastAsia="SimSun" w:hAnsi="Times New Roman" w:cs="Times New Roman"/>
              </w:rPr>
              <w:t>”</w:t>
            </w:r>
            <w:r>
              <w:rPr>
                <w:rFonts w:ascii="Times New Roman" w:eastAsia="SimSun" w:hAnsi="Times New Roman" w:cs="Times New Roman"/>
              </w:rPr>
              <w:t>描述令人迷惑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宋冰晨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轻微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建议改为</w:t>
            </w:r>
            <w:r>
              <w:rPr>
                <w:rFonts w:ascii="Times New Roman" w:eastAsia="SimSun" w:hAnsi="Times New Roman" w:cs="Times New Roman"/>
              </w:rPr>
              <w:t>“</w:t>
            </w:r>
            <w:r>
              <w:rPr>
                <w:rFonts w:ascii="Times New Roman" w:eastAsia="SimSun" w:hAnsi="Times New Roman" w:cs="Times New Roman"/>
              </w:rPr>
              <w:t>在低成本硬件（如</w:t>
            </w:r>
            <w:r>
              <w:rPr>
                <w:rFonts w:ascii="Times New Roman" w:eastAsia="SimSun" w:hAnsi="Times New Roman" w:cs="Times New Roman"/>
              </w:rPr>
              <w:t>Raspberry Pi</w:t>
            </w:r>
            <w:r>
              <w:rPr>
                <w:rFonts w:ascii="Times New Roman" w:eastAsia="SimSun" w:hAnsi="Times New Roman" w:cs="Times New Roman"/>
              </w:rPr>
              <w:t>等）上</w:t>
            </w:r>
            <w:r>
              <w:rPr>
                <w:rFonts w:ascii="Times New Roman" w:eastAsia="SimSun" w:hAnsi="Times New Roman" w:cs="Times New Roman"/>
              </w:rPr>
              <w:t>”</w:t>
            </w:r>
            <w:r>
              <w:rPr>
                <w:rFonts w:ascii="Times New Roman" w:eastAsia="SimSun" w:hAnsi="Times New Roman" w:cs="Times New Roman"/>
              </w:rPr>
              <w:t>并解释网络边缘</w:t>
            </w:r>
          </w:p>
        </w:tc>
        <w:tc>
          <w:tcPr>
            <w:tcW w:w="1630" w:type="dxa"/>
          </w:tcPr>
          <w:p w:rsidR="001F5469" w:rsidRDefault="002C2312">
            <w:r>
              <w:rPr>
                <w:rFonts w:ascii="Times New Roman" w:eastAsia="SimSun" w:hAnsi="Times New Roman" w:cs="Times New Roman"/>
              </w:rPr>
              <w:t>部分接受，网络边缘即字面意思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35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3.4.2(1)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Raspberry Pi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宋冰晨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轻微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建议添加相关术语解释</w:t>
            </w:r>
          </w:p>
        </w:tc>
        <w:tc>
          <w:tcPr>
            <w:tcW w:w="1630" w:type="dxa"/>
          </w:tcPr>
          <w:p w:rsidR="001F5469" w:rsidRDefault="002C2312">
            <w:r>
              <w:rPr>
                <w:rFonts w:ascii="Times New Roman" w:eastAsia="SimSun" w:hAnsi="Times New Roman" w:cs="Times New Roman"/>
              </w:rPr>
              <w:t>不接受，默认需求方已知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36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3.4.5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Docker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宋冰晨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轻微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建议添加相关术语解释</w:t>
            </w:r>
          </w:p>
        </w:tc>
        <w:tc>
          <w:tcPr>
            <w:tcW w:w="1630" w:type="dxa"/>
          </w:tcPr>
          <w:p w:rsidR="001F5469" w:rsidRDefault="002C2312">
            <w:r>
              <w:rPr>
                <w:rFonts w:ascii="Times New Roman" w:eastAsia="SimSun" w:hAnsi="Times New Roman" w:cs="Times New Roman"/>
              </w:rPr>
              <w:t>不接受，默认需求方已知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37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3.2.4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表</w:t>
            </w:r>
            <w:r>
              <w:rPr>
                <w:rFonts w:ascii="Times New Roman" w:eastAsia="SimSun" w:hAnsi="Times New Roman" w:cs="Times New Roman"/>
              </w:rPr>
              <w:t>6</w:t>
            </w:r>
            <w:r>
              <w:rPr>
                <w:rFonts w:ascii="Times New Roman" w:eastAsia="SimSun" w:hAnsi="Times New Roman" w:cs="Times New Roman"/>
              </w:rPr>
              <w:t>的表题和表内容不在同个页面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宋冰晨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轻微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建议建议通过调整格式使其在同一页面上</w:t>
            </w:r>
          </w:p>
        </w:tc>
        <w:tc>
          <w:tcPr>
            <w:tcW w:w="1630" w:type="dxa"/>
          </w:tcPr>
          <w:p w:rsidR="001F5469" w:rsidRPr="00AD734A" w:rsidRDefault="00AD734A">
            <w:pPr>
              <w:rPr>
                <w:rFonts w:ascii="SimSun" w:eastAsia="SimSun" w:hAnsi="SimSun"/>
              </w:rPr>
            </w:pPr>
            <w:r w:rsidRPr="00AD734A">
              <w:rPr>
                <w:rFonts w:ascii="SimSun" w:eastAsia="SimSun" w:hAnsi="SimSun" w:hint="eastAsia"/>
              </w:rPr>
              <w:t>接受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38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3.3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“</w:t>
            </w:r>
            <w:r>
              <w:rPr>
                <w:rFonts w:ascii="Times New Roman" w:eastAsia="SimSun" w:hAnsi="Times New Roman" w:cs="Times New Roman"/>
              </w:rPr>
              <w:t>我们还开发了各种图表的可视化应用以及基于</w:t>
            </w:r>
            <w:r>
              <w:rPr>
                <w:rFonts w:ascii="Times New Roman" w:eastAsia="SimSun" w:hAnsi="Times New Roman" w:cs="Times New Roman"/>
              </w:rPr>
              <w:t>markdown</w:t>
            </w:r>
            <w:r>
              <w:rPr>
                <w:rFonts w:ascii="Times New Roman" w:eastAsia="SimSun" w:hAnsi="Times New Roman" w:cs="Times New Roman"/>
              </w:rPr>
              <w:t>语法的模板拓展包</w:t>
            </w:r>
            <w:r>
              <w:rPr>
                <w:rFonts w:ascii="Times New Roman" w:eastAsia="SimSun" w:hAnsi="Times New Roman" w:cs="Times New Roman"/>
              </w:rPr>
              <w:t>”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宋冰晨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轻微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建议改为</w:t>
            </w:r>
            <w:r>
              <w:rPr>
                <w:rFonts w:ascii="Times New Roman" w:eastAsia="SimSun" w:hAnsi="Times New Roman" w:cs="Times New Roman"/>
              </w:rPr>
              <w:t>“</w:t>
            </w:r>
            <w:r>
              <w:rPr>
                <w:rFonts w:ascii="Times New Roman" w:eastAsia="SimSun" w:hAnsi="Times New Roman" w:cs="Times New Roman"/>
              </w:rPr>
              <w:t>本</w:t>
            </w:r>
            <w:bookmarkStart w:id="0" w:name="_GoBack"/>
            <w:bookmarkEnd w:id="0"/>
            <w:r>
              <w:rPr>
                <w:rFonts w:ascii="Times New Roman" w:eastAsia="SimSun" w:hAnsi="Times New Roman" w:cs="Times New Roman"/>
              </w:rPr>
              <w:t>项目组</w:t>
            </w:r>
            <w:r>
              <w:rPr>
                <w:rFonts w:ascii="Times New Roman" w:eastAsia="SimSun" w:hAnsi="Times New Roman" w:cs="Times New Roman"/>
              </w:rPr>
              <w:t>”</w:t>
            </w:r>
          </w:p>
        </w:tc>
        <w:tc>
          <w:tcPr>
            <w:tcW w:w="1630" w:type="dxa"/>
          </w:tcPr>
          <w:p w:rsidR="001F5469" w:rsidRDefault="002C2312">
            <w:r>
              <w:rPr>
                <w:rFonts w:ascii="Times New Roman" w:eastAsia="SimSun" w:hAnsi="Times New Roman" w:cs="Times New Roman"/>
              </w:rPr>
              <w:t>接受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39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以表</w:t>
            </w:r>
            <w:r>
              <w:rPr>
                <w:rFonts w:ascii="Times New Roman" w:eastAsia="SimSun" w:hAnsi="Times New Roman" w:cs="Times New Roman"/>
              </w:rPr>
              <w:t>2</w:t>
            </w:r>
            <w:r>
              <w:rPr>
                <w:rFonts w:ascii="Times New Roman" w:eastAsia="SimSun" w:hAnsi="Times New Roman" w:cs="Times New Roman"/>
              </w:rPr>
              <w:t>中</w:t>
            </w:r>
            <w:r>
              <w:rPr>
                <w:rFonts w:ascii="Times New Roman" w:eastAsia="SimSun" w:hAnsi="Times New Roman" w:cs="Times New Roman"/>
              </w:rPr>
              <w:t>UC006</w:t>
            </w:r>
            <w:r>
              <w:rPr>
                <w:rFonts w:ascii="Times New Roman" w:eastAsia="SimSun" w:hAnsi="Times New Roman" w:cs="Times New Roman"/>
              </w:rPr>
              <w:t>为例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一般情况下表格不应当跨页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宋冰晨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轻微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建议参考续表的标准写法修改表格格式</w:t>
            </w:r>
          </w:p>
        </w:tc>
        <w:tc>
          <w:tcPr>
            <w:tcW w:w="1630" w:type="dxa"/>
          </w:tcPr>
          <w:p w:rsidR="001F5469" w:rsidRPr="00AD734A" w:rsidRDefault="00AD734A">
            <w:pPr>
              <w:rPr>
                <w:rFonts w:ascii="SimSun" w:eastAsia="SimSun" w:hAnsi="SimSun"/>
              </w:rPr>
            </w:pPr>
            <w:r w:rsidRPr="00AD734A">
              <w:rPr>
                <w:rFonts w:ascii="SimSun" w:eastAsia="SimSun" w:hAnsi="SimSun" w:hint="eastAsia"/>
              </w:rPr>
              <w:t>接受</w:t>
            </w:r>
          </w:p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40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所有的用例说明表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中英混杂，表格第一行中的英文描述不是很恰当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宋冰晨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轻微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以</w:t>
            </w:r>
            <w:r>
              <w:rPr>
                <w:rFonts w:ascii="Times New Roman" w:eastAsia="SimSun" w:hAnsi="Times New Roman" w:cs="Times New Roman"/>
              </w:rPr>
              <w:t>“Use Case Name”</w:t>
            </w:r>
            <w:r>
              <w:rPr>
                <w:rFonts w:ascii="Times New Roman" w:eastAsia="SimSun" w:hAnsi="Times New Roman" w:cs="Times New Roman"/>
              </w:rPr>
              <w:t>为例，建议修改为</w:t>
            </w:r>
            <w:r>
              <w:rPr>
                <w:rFonts w:ascii="Times New Roman" w:eastAsia="SimSun" w:hAnsi="Times New Roman" w:cs="Times New Roman"/>
              </w:rPr>
              <w:t>“</w:t>
            </w:r>
            <w:r>
              <w:rPr>
                <w:rFonts w:ascii="Times New Roman" w:eastAsia="SimSun" w:hAnsi="Times New Roman" w:cs="Times New Roman"/>
              </w:rPr>
              <w:t>用例名称（</w:t>
            </w:r>
            <w:r>
              <w:rPr>
                <w:rFonts w:ascii="Times New Roman" w:eastAsia="SimSun" w:hAnsi="Times New Roman" w:cs="Times New Roman"/>
              </w:rPr>
              <w:t>Use Case Name</w:t>
            </w:r>
            <w:r>
              <w:rPr>
                <w:rFonts w:ascii="Times New Roman" w:eastAsia="SimSun" w:hAnsi="Times New Roman" w:cs="Times New Roman"/>
              </w:rPr>
              <w:t>）</w:t>
            </w:r>
            <w:r>
              <w:rPr>
                <w:rFonts w:ascii="Times New Roman" w:eastAsia="SimSun" w:hAnsi="Times New Roman" w:cs="Times New Roman"/>
              </w:rPr>
              <w:t>”</w:t>
            </w:r>
          </w:p>
        </w:tc>
        <w:tc>
          <w:tcPr>
            <w:tcW w:w="1630" w:type="dxa"/>
          </w:tcPr>
          <w:p w:rsidR="006054DD" w:rsidRDefault="006054DD" w:rsidP="006054DD">
            <w:r>
              <w:rPr>
                <w:rFonts w:ascii="Times New Roman" w:eastAsia="SimSun" w:hAnsi="Times New Roman" w:cs="Times New Roman"/>
              </w:rPr>
              <w:t>接受</w:t>
            </w:r>
          </w:p>
          <w:p w:rsidR="001F5469" w:rsidRDefault="001F5469"/>
        </w:tc>
      </w:tr>
      <w:tr w:rsidR="001F5469" w:rsidTr="006054DD">
        <w:trPr>
          <w:trHeight w:val="500"/>
        </w:trPr>
        <w:tc>
          <w:tcPr>
            <w:tcW w:w="782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41</w:t>
            </w:r>
          </w:p>
        </w:tc>
        <w:tc>
          <w:tcPr>
            <w:tcW w:w="11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全文</w:t>
            </w:r>
          </w:p>
        </w:tc>
        <w:tc>
          <w:tcPr>
            <w:tcW w:w="2528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首行缩进不是</w:t>
            </w:r>
            <w:r>
              <w:rPr>
                <w:rFonts w:ascii="Times New Roman" w:eastAsia="SimSun" w:hAnsi="Times New Roman" w:cs="Times New Roman"/>
              </w:rPr>
              <w:t>2</w:t>
            </w:r>
            <w:r>
              <w:rPr>
                <w:rFonts w:ascii="Times New Roman" w:eastAsia="SimSun" w:hAnsi="Times New Roman" w:cs="Times New Roman"/>
              </w:rPr>
              <w:t>个字符，而是</w:t>
            </w:r>
            <w:r>
              <w:rPr>
                <w:rFonts w:ascii="Times New Roman" w:eastAsia="SimSun" w:hAnsi="Times New Roman" w:cs="Times New Roman"/>
              </w:rPr>
              <w:t>0.74</w:t>
            </w:r>
            <w:r>
              <w:rPr>
                <w:rFonts w:ascii="Times New Roman" w:eastAsia="SimSun" w:hAnsi="Times New Roman" w:cs="Times New Roman"/>
              </w:rPr>
              <w:t>厘米</w:t>
            </w:r>
          </w:p>
        </w:tc>
        <w:tc>
          <w:tcPr>
            <w:tcW w:w="90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宋冰晨</w:t>
            </w:r>
          </w:p>
        </w:tc>
        <w:tc>
          <w:tcPr>
            <w:tcW w:w="72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轻微</w:t>
            </w:r>
          </w:p>
        </w:tc>
        <w:tc>
          <w:tcPr>
            <w:tcW w:w="1710" w:type="dxa"/>
          </w:tcPr>
          <w:p w:rsidR="001F5469" w:rsidRDefault="002C2312">
            <w:pPr>
              <w:jc w:val="center"/>
            </w:pPr>
            <w:r>
              <w:rPr>
                <w:rFonts w:ascii="Times New Roman" w:eastAsia="SimSun" w:hAnsi="Times New Roman" w:cs="Times New Roman"/>
              </w:rPr>
              <w:t>建议修改为首行缩进</w:t>
            </w:r>
            <w:r>
              <w:rPr>
                <w:rFonts w:ascii="Times New Roman" w:eastAsia="SimSun" w:hAnsi="Times New Roman" w:cs="Times New Roman"/>
              </w:rPr>
              <w:t>2</w:t>
            </w:r>
            <w:r>
              <w:rPr>
                <w:rFonts w:ascii="Times New Roman" w:eastAsia="SimSun" w:hAnsi="Times New Roman" w:cs="Times New Roman"/>
              </w:rPr>
              <w:t>个字符</w:t>
            </w:r>
          </w:p>
        </w:tc>
        <w:tc>
          <w:tcPr>
            <w:tcW w:w="1630" w:type="dxa"/>
          </w:tcPr>
          <w:p w:rsidR="006054DD" w:rsidRDefault="006054DD" w:rsidP="006054DD">
            <w:r>
              <w:rPr>
                <w:rFonts w:ascii="Times New Roman" w:eastAsia="SimSun" w:hAnsi="Times New Roman" w:cs="Times New Roman"/>
              </w:rPr>
              <w:t>接受</w:t>
            </w:r>
          </w:p>
          <w:p w:rsidR="001F5469" w:rsidRDefault="001F5469"/>
        </w:tc>
      </w:tr>
    </w:tbl>
    <w:p w:rsidR="001F5469" w:rsidRDefault="001F5469"/>
    <w:p w:rsidR="001F5469" w:rsidRDefault="001F5469"/>
    <w:sectPr w:rsidR="001F546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CB4" w:rsidRDefault="00E74CB4">
      <w:pPr>
        <w:spacing w:after="0" w:line="240" w:lineRule="auto"/>
      </w:pPr>
      <w:r>
        <w:separator/>
      </w:r>
    </w:p>
  </w:endnote>
  <w:endnote w:type="continuationSeparator" w:id="0">
    <w:p w:rsidR="00E74CB4" w:rsidRDefault="00E74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CB4" w:rsidRDefault="00E74CB4">
      <w:pPr>
        <w:spacing w:after="0" w:line="240" w:lineRule="auto"/>
      </w:pPr>
      <w:r>
        <w:separator/>
      </w:r>
    </w:p>
  </w:footnote>
  <w:footnote w:type="continuationSeparator" w:id="0">
    <w:p w:rsidR="00E74CB4" w:rsidRDefault="00E74C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69"/>
    <w:rsid w:val="001F5469"/>
    <w:rsid w:val="002C2312"/>
    <w:rsid w:val="00386223"/>
    <w:rsid w:val="006054DD"/>
    <w:rsid w:val="00AD734A"/>
    <w:rsid w:val="00E7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8B258A-AD4E-4D39-B00C-55BDC531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054DD"/>
  </w:style>
  <w:style w:type="paragraph" w:styleId="a5">
    <w:name w:val="footer"/>
    <w:basedOn w:val="a"/>
    <w:link w:val="a6"/>
    <w:uiPriority w:val="99"/>
    <w:unhideWhenUsed/>
    <w:rsid w:val="00605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05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z ym</cp:lastModifiedBy>
  <cp:revision>3</cp:revision>
  <dcterms:created xsi:type="dcterms:W3CDTF">2020-04-17T03:42:00Z</dcterms:created>
  <dcterms:modified xsi:type="dcterms:W3CDTF">2020-04-17T04:06:00Z</dcterms:modified>
</cp:coreProperties>
</file>