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2215" w14:textId="77777777" w:rsidR="00A73C1C" w:rsidRPr="00A73C1C" w:rsidRDefault="00A73C1C" w:rsidP="00662611">
      <w:pPr>
        <w:keepNext/>
        <w:keepLines/>
        <w:shd w:val="clear" w:color="auto" w:fill="FFFFFF"/>
        <w:spacing w:before="480" w:after="360" w:line="288" w:lineRule="auto"/>
        <w:ind w:right="183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/>
          <w:bCs/>
          <w:sz w:val="24"/>
          <w:szCs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ab/>
      </w:r>
      <w:bookmarkStart w:id="0" w:name="_GoBack"/>
      <w:bookmarkEnd w:id="0"/>
      <w:r w:rsidRPr="00A73C1C">
        <w:rPr>
          <w:rFonts w:ascii="Times New Roman" w:eastAsia="Times New Roman" w:hAnsi="Times New Roman" w:cs="Times New Roman"/>
          <w:b/>
          <w:bCs/>
          <w:sz w:val="24"/>
          <w:szCs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 xml:space="preserve">Research Questions: </w:t>
      </w:r>
    </w:p>
    <w:p w14:paraId="4C5687A0" w14:textId="77777777" w:rsidR="00A73C1C" w:rsidRPr="00A73C1C" w:rsidRDefault="00A73C1C" w:rsidP="00A73C1C">
      <w:pPr>
        <w:shd w:val="clear" w:color="auto" w:fill="FFFFFF"/>
        <w:spacing w:before="140" w:after="10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This study aimed to provide valid answers for the following questions:</w:t>
      </w:r>
      <w:bookmarkStart w:id="1" w:name="_Toc426989595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2E9DD2AD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What </w:t>
      </w:r>
      <w:proofErr w:type="gramStart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are</w:t>
      </w:r>
      <w:proofErr w:type="gramEnd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the prevalence and levels of overweight and obesity in </w:t>
      </w:r>
      <w:bookmarkStart w:id="2" w:name="_Hlk514703278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Omani adolescent girls</w:t>
      </w:r>
      <w:bookmarkEnd w:id="2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?</w:t>
      </w:r>
      <w:bookmarkStart w:id="3" w:name="_Toc426989596"/>
      <w:bookmarkEnd w:id="1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77A8109C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What are the dietary habits of Omani female adolescent girls?</w:t>
      </w:r>
      <w:bookmarkStart w:id="4" w:name="_Toc426989597"/>
      <w:bookmarkEnd w:id="3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059221BE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What are the levels of physical activity and sedentary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behaviours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among Omani female adolescent girls?</w:t>
      </w:r>
      <w:bookmarkStart w:id="5" w:name="_Toc426989598"/>
      <w:bookmarkEnd w:id="4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52252D3F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What is the relationship between an adolescents’ lifestyle and their body weight?</w:t>
      </w:r>
      <w:bookmarkStart w:id="6" w:name="_Toc426989599"/>
      <w:bookmarkEnd w:id="5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77459EB4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Are there any differences between the lifestyles of obese or overweight Omani adolescent girls and those of normal weight?</w:t>
      </w:r>
      <w:bookmarkEnd w:id="6"/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</w:t>
      </w:r>
    </w:p>
    <w:p w14:paraId="44E650E8" w14:textId="77777777" w:rsidR="00A73C1C" w:rsidRPr="00A73C1C" w:rsidRDefault="00A73C1C" w:rsidP="00A73C1C">
      <w:pPr>
        <w:numPr>
          <w:ilvl w:val="0"/>
          <w:numId w:val="1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What are the subjective perceptions of Omani adolescent girls regarding their dietary habits and exercise?</w:t>
      </w:r>
    </w:p>
    <w:p w14:paraId="52BAB550" w14:textId="77777777" w:rsidR="00A73C1C" w:rsidRPr="00A73C1C" w:rsidRDefault="00A73C1C" w:rsidP="00A73C1C">
      <w:pPr>
        <w:keepNext/>
        <w:keepLines/>
        <w:shd w:val="clear" w:color="auto" w:fill="FFFFFF"/>
        <w:spacing w:before="480" w:after="360" w:line="288" w:lineRule="auto"/>
        <w:ind w:right="183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</w:pPr>
      <w:bookmarkStart w:id="7" w:name="_Toc535403268"/>
      <w:r w:rsidRPr="00A73C1C">
        <w:rPr>
          <w:rFonts w:ascii="Times New Roman" w:eastAsia="Times New Roman" w:hAnsi="Times New Roman" w:cs="Times New Roman"/>
          <w:b/>
          <w:bCs/>
          <w:sz w:val="24"/>
          <w:szCs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>2.13 The Aim and Objectives of the Study</w:t>
      </w:r>
      <w:bookmarkEnd w:id="7"/>
    </w:p>
    <w:p w14:paraId="5FCAA084" w14:textId="77777777" w:rsidR="00A73C1C" w:rsidRPr="00A73C1C" w:rsidRDefault="00A73C1C" w:rsidP="00A73C1C">
      <w:pPr>
        <w:keepNext/>
        <w:keepLines/>
        <w:shd w:val="clear" w:color="auto" w:fill="FFFFFF"/>
        <w:spacing w:before="240" w:after="120" w:line="288" w:lineRule="auto"/>
        <w:ind w:left="680" w:right="1814" w:hanging="680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" w:name="_Toc535403269"/>
      <w:bookmarkStart w:id="9" w:name="_Toc418089369"/>
      <w:r w:rsidRPr="00A73C1C">
        <w:rPr>
          <w:rFonts w:ascii="Times New Roman" w:eastAsia="Times New Roman" w:hAnsi="Times New Roman" w:cs="Times New Roman"/>
          <w:b/>
          <w:bCs/>
          <w:sz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 xml:space="preserve">2.13.1 </w:t>
      </w:r>
      <w:r w:rsidRPr="00A73C1C">
        <w:rPr>
          <w:rFonts w:ascii="Times New Roman" w:eastAsia="Times New Roman" w:hAnsi="Times New Roman" w:cs="Times New Roman"/>
          <w:b/>
          <w:bCs/>
          <w:sz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ab/>
        <w:t>Main aim of the study</w:t>
      </w:r>
      <w:bookmarkEnd w:id="8"/>
      <w:bookmarkEnd w:id="9"/>
    </w:p>
    <w:p w14:paraId="7B7CDBB7" w14:textId="77777777" w:rsidR="00A73C1C" w:rsidRPr="00A73C1C" w:rsidRDefault="00A73C1C" w:rsidP="00A73C1C">
      <w:pPr>
        <w:shd w:val="clear" w:color="auto" w:fill="FFFFFF"/>
        <w:spacing w:before="14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bookmarkStart w:id="10" w:name="_Toc426989602"/>
      <w:r w:rsidRPr="00A73C1C"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The aim of this study is to assess the lifestyle characteristics (physical activity level, sedentary </w:t>
      </w:r>
      <w:r w:rsidRPr="00A73C1C"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behaviours</w:t>
      </w:r>
      <w:r w:rsidRPr="00A73C1C"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and dietary habits) and the reasons for such lifestyle among adolescent girls aged 15–18 years in </w:t>
      </w:r>
      <w:proofErr w:type="spellStart"/>
      <w:r w:rsidRPr="00A73C1C"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Ibri</w:t>
      </w:r>
      <w:proofErr w:type="spellEnd"/>
      <w:r w:rsidRPr="00A73C1C">
        <w:rPr>
          <w:rFonts w:ascii="Times New Roman" w:eastAsia="Times New Roman" w:hAnsi="Times New Roman" w:cs="Times New Roman"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, Oman.</w:t>
      </w:r>
      <w:bookmarkStart w:id="11" w:name="_Toc426989603"/>
      <w:bookmarkEnd w:id="10"/>
      <w:bookmarkEnd w:id="11"/>
    </w:p>
    <w:p w14:paraId="0005EDAD" w14:textId="77777777" w:rsidR="00A73C1C" w:rsidRPr="00A73C1C" w:rsidRDefault="00A73C1C" w:rsidP="00A73C1C">
      <w:pPr>
        <w:keepNext/>
        <w:keepLines/>
        <w:shd w:val="clear" w:color="auto" w:fill="FFFFFF"/>
        <w:spacing w:before="240" w:after="120" w:line="288" w:lineRule="auto"/>
        <w:ind w:left="680" w:right="1814" w:hanging="680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</w:pPr>
      <w:bookmarkStart w:id="12" w:name="_Toc535403270"/>
      <w:r w:rsidRPr="00A73C1C">
        <w:rPr>
          <w:rFonts w:ascii="Times New Roman" w:eastAsia="Times New Roman" w:hAnsi="Times New Roman" w:cs="Times New Roman"/>
          <w:b/>
          <w:bCs/>
          <w:sz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 xml:space="preserve">2.13.2 </w:t>
      </w:r>
      <w:r w:rsidRPr="00A73C1C">
        <w:rPr>
          <w:rFonts w:ascii="Times New Roman" w:eastAsia="Times New Roman" w:hAnsi="Times New Roman" w:cs="Times New Roman"/>
          <w:b/>
          <w:bCs/>
          <w:sz w:val="24"/>
          <w14:ligatures w14:val="standardContextual"/>
          <w14:numForm w14:val="oldStyle"/>
          <w14:numSpacing w14:val="tabular"/>
          <w14:stylisticSets>
            <w14:styleSet w14:id="1"/>
          </w14:stylisticSets>
          <w14:cntxtAlts/>
        </w:rPr>
        <w:tab/>
        <w:t>Objectives:</w:t>
      </w:r>
      <w:bookmarkEnd w:id="12"/>
    </w:p>
    <w:p w14:paraId="7E7BB26D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To assess the BMI of adolescent girls by measuring their weight and height using the WHO z-score chart for girls aged 5–19 years.</w:t>
      </w:r>
    </w:p>
    <w:p w14:paraId="6A7902B9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assess the level of physical activity of the participants by: </w:t>
      </w:r>
    </w:p>
    <w:p w14:paraId="3F6A560A" w14:textId="77777777" w:rsidR="00A73C1C" w:rsidRPr="00A73C1C" w:rsidRDefault="00A73C1C" w:rsidP="00A73C1C">
      <w:pPr>
        <w:numPr>
          <w:ilvl w:val="1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Measuring the number of footsteps and energy expanded using a pedometer, </w:t>
      </w:r>
    </w:p>
    <w:p w14:paraId="6D738782" w14:textId="77777777" w:rsidR="00A73C1C" w:rsidRPr="00A73C1C" w:rsidRDefault="00A73C1C" w:rsidP="00A73C1C">
      <w:pPr>
        <w:numPr>
          <w:ilvl w:val="1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Recording the types of physical activities and frequency of practicing such activities using ATLS questionnaire.</w:t>
      </w:r>
    </w:p>
    <w:p w14:paraId="04228A2E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assess dietary habits by: </w:t>
      </w:r>
    </w:p>
    <w:p w14:paraId="3C1BB53E" w14:textId="77777777" w:rsidR="00A73C1C" w:rsidRPr="00A73C1C" w:rsidRDefault="00A73C1C" w:rsidP="00A73C1C">
      <w:pPr>
        <w:numPr>
          <w:ilvl w:val="1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Completion of an online questionnaire, </w:t>
      </w:r>
    </w:p>
    <w:p w14:paraId="0E04DDA6" w14:textId="77777777" w:rsidR="00A73C1C" w:rsidRPr="00A73C1C" w:rsidRDefault="00A73C1C" w:rsidP="00A73C1C">
      <w:pPr>
        <w:numPr>
          <w:ilvl w:val="1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Completion of un-weighed 7- day diet diary to record the type and of food eaten, how often and the portion size.</w:t>
      </w:r>
    </w:p>
    <w:p w14:paraId="6BB7DFC6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assess sedentary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behaviour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by recording the time spent sitting or sleeping and screen-time using ATLS questionnaire. </w:t>
      </w:r>
    </w:p>
    <w:p w14:paraId="0810B129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lastRenderedPageBreak/>
        <w:t xml:space="preserve">To compare the daily intake of calories, carbohydrate,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protein,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and fats by girls aged 15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softHyphen/>
        <w:t xml:space="preserve">–18 years with the </w:t>
      </w:r>
      <w:r w:rsidRPr="00A73C1C">
        <w:rPr>
          <w:rFonts w:ascii="Times New Roman" w:eastAsia="Times New Roman" w:hAnsi="Times New Roman" w:cs="Times New Roman"/>
          <w:bCs/>
          <w:i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Omani Guide of Healthy Eating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. </w:t>
      </w:r>
    </w:p>
    <w:p w14:paraId="036919AF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AU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:lang w:val="en-AU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estimate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:lang w:val="en-AU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the total energy intake, BMR and TEE of the participants and identify the differences between the BMI categories.</w:t>
      </w:r>
    </w:p>
    <w:p w14:paraId="720B135B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examine the association between normal weight, obese and overweight adolescents and, physical activities, sedentary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behaviours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and dietary habits, from data collected from the ATLS questionnaires, pedometers and un-weighed diet diaries and to identify the differences or similarities between normal weight, obese or overweight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adolescents,</w:t>
      </w: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 and normal weight adolescents in relation to their dietary habits, physical activities and sedentary </w:t>
      </w:r>
      <w:r w:rsidRPr="00A73C1C">
        <w:rPr>
          <w:rFonts w:ascii="Times New Roman" w:eastAsia="Times New Roman" w:hAnsi="Times New Roman" w:cs="Times New Roman"/>
          <w:bCs/>
          <w:noProof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>behaviours.</w:t>
      </w:r>
    </w:p>
    <w:p w14:paraId="2DF28086" w14:textId="77777777" w:rsidR="00A73C1C" w:rsidRPr="00A73C1C" w:rsidRDefault="00A73C1C" w:rsidP="00A73C1C">
      <w:pPr>
        <w:numPr>
          <w:ilvl w:val="0"/>
          <w:numId w:val="2"/>
        </w:numPr>
        <w:shd w:val="clear" w:color="auto" w:fill="FFFFFF"/>
        <w:spacing w:before="140" w:after="10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</w:pPr>
      <w:r w:rsidRPr="00A73C1C">
        <w:rPr>
          <w:rFonts w:ascii="Times New Roman" w:eastAsia="Times New Roman" w:hAnsi="Times New Roman" w:cs="Times New Roman"/>
          <w:bCs/>
          <w:sz w:val="24"/>
          <w:szCs w:val="24"/>
          <w14:ligatures w14:val="standardContextual"/>
          <w14:numForm w14:val="lining"/>
          <w14:numSpacing w14:val="tabular"/>
          <w14:stylisticSets>
            <w14:styleSet w14:id="1"/>
          </w14:stylisticSets>
          <w14:cntxtAlts/>
        </w:rPr>
        <w:t xml:space="preserve">To explore the rationale for choosing a lifestyle (dietary habits and patterns of exercise or sedentary behaviour) using focus group discussion. </w:t>
      </w:r>
    </w:p>
    <w:p w14:paraId="1828283D" w14:textId="77777777" w:rsidR="009B2589" w:rsidRDefault="009B2589"/>
    <w:sectPr w:rsidR="009B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56A"/>
    <w:multiLevelType w:val="hybridMultilevel"/>
    <w:tmpl w:val="529C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70EA"/>
    <w:multiLevelType w:val="hybridMultilevel"/>
    <w:tmpl w:val="2F729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89"/>
    <w:rsid w:val="003129DF"/>
    <w:rsid w:val="00662611"/>
    <w:rsid w:val="009B2589"/>
    <w:rsid w:val="00A7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8F68C8-B26C-48DE-A9EA-EEDBF11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zuwaina almahrooqi</dc:creator>
  <cp:keywords/>
  <dc:description/>
  <cp:lastModifiedBy>Windows User</cp:lastModifiedBy>
  <cp:revision>4</cp:revision>
  <dcterms:created xsi:type="dcterms:W3CDTF">2019-02-20T11:56:00Z</dcterms:created>
  <dcterms:modified xsi:type="dcterms:W3CDTF">2019-02-21T10:36:00Z</dcterms:modified>
</cp:coreProperties>
</file>