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rPr>
          <w:rFonts w:ascii="Arial" w:cs="Arial" w:eastAsia="Arial" w:hAnsi="Arial"/>
        </w:rPr>
        <w:t xml:space="preserve"/>
      </w:r>
    </w:p>
    <w:p>
      <w:pPr>
        <w:spacing w:after="60" w:before="0"/>
        <w:jc w:val="center"/>
      </w:pPr>
      <w:r>
        <w:rPr>
          <w:rFonts w:ascii="Arial" w:cs="Arial" w:eastAsia="Arial" w:hAnsi="Arial"/>
          <w:b/>
          <w:bCs/>
          <w:caps/>
          <w:color w:val="888888"/>
          <w:sz w:val="20"/>
          <w:szCs w:val="20"/>
        </w:rPr>
        <w:t xml:space="preserve">DATASET DEEP-DIVE</w:t>
      </w:r>
    </w:p>
    <w:p>
      <w:pPr>
        <w:spacing w:after="60" w:before="0"/>
        <w:jc w:val="center"/>
      </w:pPr>
      <w:r>
        <w:rPr>
          <w:rFonts w:ascii="Arial" w:cs="Arial" w:eastAsia="Arial" w:hAnsi="Arial"/>
          <w:b/>
          <w:bCs/>
          <w:color w:val="1A5C38"/>
          <w:sz w:val="56"/>
          <w:szCs w:val="56"/>
        </w:rPr>
        <w:t xml:space="preserve">BengalCattle-5Y</w:t>
      </w:r>
    </w:p>
    <w:p>
      <w:pPr>
        <w:spacing w:after="80" w:before="0"/>
        <w:jc w:val="center"/>
      </w:pPr>
      <w:r>
        <w:rPr>
          <w:rFonts w:ascii="Arial" w:cs="Arial" w:eastAsia="Arial" w:hAnsi="Arial"/>
          <w:b/>
          <w:bCs/>
          <w:color w:val="2E7D52"/>
          <w:sz w:val="28"/>
          <w:szCs w:val="28"/>
        </w:rPr>
        <w:t xml:space="preserve">What Makes This Dataset Uniquely Publication-Ready</w:t>
      </w:r>
    </w:p>
    <w:p>
      <w:pPr>
        <w:spacing w:after="400" w:before="0"/>
        <w:jc w:val="center"/>
      </w:pPr>
      <w:r>
        <w:rPr>
          <w:rFonts w:ascii="Arial" w:cs="Arial" w:eastAsia="Arial" w:hAnsi="Arial"/>
          <w:i/>
          <w:iCs/>
          <w:color w:val="555555"/>
          <w:sz w:val="20"/>
          <w:szCs w:val="20"/>
        </w:rPr>
        <w:t xml:space="preserve">A structured analysis of 1,928 cattle • 7,709 HD images • 1,895 YouTube videos • 5 Eid seasons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1,928</w:t>
            </w:r>
          </w:p>
        </w:tc>
        <w:tc>
          <w:tcPr>
            <w:tcW w:type="dxa" w:w="234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7,709</w:t>
            </w:r>
          </w:p>
        </w:tc>
        <w:tc>
          <w:tcPr>
            <w:tcW w:type="dxa" w:w="234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1,895</w:t>
            </w:r>
          </w:p>
        </w:tc>
        <w:tc>
          <w:tcPr>
            <w:tcW w:type="dxa" w:w="234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5</w:t>
            </w:r>
          </w:p>
        </w:tc>
      </w:tr>
      <w:tr>
        <w:tc>
          <w:tcPr>
            <w:tcW w:type="dxa" w:w="2340"/>
            <w:tcBorders>
              <w:top w:val="single" w:color="CCCCCC" w:sz="2"/>
              <w:left w:val="single" w:color="CCCCCC" w:sz="2"/>
              <w:bottom w:val="single" w:color="CCCCCC" w:sz="2"/>
              <w:right w:val="single" w:color="CCCCCC" w:sz="2"/>
            </w:tcBorders>
            <w:shd w:fill="D6EAD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Unique cattle</w:t>
            </w:r>
          </w:p>
        </w:tc>
        <w:tc>
          <w:tcPr>
            <w:tcW w:type="dxa" w:w="2340"/>
            <w:tcBorders>
              <w:top w:val="single" w:color="CCCCCC" w:sz="2"/>
              <w:left w:val="single" w:color="CCCCCC" w:sz="2"/>
              <w:bottom w:val="single" w:color="CCCCCC" w:sz="2"/>
              <w:right w:val="single" w:color="CCCCCC" w:sz="2"/>
            </w:tcBorders>
            <w:shd w:fill="D6EAD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HD images (4 views/animal)</w:t>
            </w:r>
          </w:p>
        </w:tc>
        <w:tc>
          <w:tcPr>
            <w:tcW w:type="dxa" w:w="2340"/>
            <w:tcBorders>
              <w:top w:val="single" w:color="CCCCCC" w:sz="2"/>
              <w:left w:val="single" w:color="CCCCCC" w:sz="2"/>
              <w:bottom w:val="single" w:color="CCCCCC" w:sz="2"/>
              <w:right w:val="single" w:color="CCCCCC" w:sz="2"/>
            </w:tcBorders>
            <w:shd w:fill="D6EAD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YouTube videos</w:t>
            </w:r>
          </w:p>
        </w:tc>
        <w:tc>
          <w:tcPr>
            <w:tcW w:type="dxa" w:w="2340"/>
            <w:tcBorders>
              <w:top w:val="single" w:color="CCCCCC" w:sz="2"/>
              <w:left w:val="single" w:color="CCCCCC" w:sz="2"/>
              <w:bottom w:val="single" w:color="CCCCCC" w:sz="2"/>
              <w:right w:val="single" w:color="CCCCCC" w:sz="2"/>
            </w:tcBorders>
            <w:shd w:fill="D6EAD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Consecutive Eid seasons</w:t>
            </w:r>
          </w:p>
        </w:tc>
      </w:tr>
      <w:tr>
        <w:tc>
          <w:tcPr>
            <w:tcW w:type="dxa" w:w="234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28</w:t>
            </w:r>
          </w:p>
        </w:tc>
        <w:tc>
          <w:tcPr>
            <w:tcW w:type="dxa" w:w="234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8</w:t>
            </w:r>
          </w:p>
        </w:tc>
        <w:tc>
          <w:tcPr>
            <w:tcW w:type="dxa" w:w="234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98.3%</w:t>
            </w:r>
          </w:p>
        </w:tc>
        <w:tc>
          <w:tcPr>
            <w:tcW w:type="dxa" w:w="234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 = 0.895</w:t>
            </w:r>
          </w:p>
        </w:tc>
      </w:tr>
      <w:tr>
        <w:tc>
          <w:tcPr>
            <w:tcW w:type="dxa" w:w="2340"/>
            <w:tcBorders>
              <w:top w:val="single" w:color="CCCCCC" w:sz="2"/>
              <w:left w:val="single" w:color="CCCCCC" w:sz="2"/>
              <w:bottom w:val="single" w:color="CCCCCC" w:sz="2"/>
              <w:right w:val="single" w:color="CCCCCC" w:sz="2"/>
            </w:tcBorders>
            <w:shd w:fill="D6EAD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Structured metadata columns</w:t>
            </w:r>
          </w:p>
        </w:tc>
        <w:tc>
          <w:tcPr>
            <w:tcW w:type="dxa" w:w="2340"/>
            <w:tcBorders>
              <w:top w:val="single" w:color="CCCCCC" w:sz="2"/>
              <w:left w:val="single" w:color="CCCCCC" w:sz="2"/>
              <w:bottom w:val="single" w:color="CCCCCC" w:sz="2"/>
              <w:right w:val="single" w:color="CCCCCC" w:sz="2"/>
            </w:tcBorders>
            <w:shd w:fill="D6EAD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South Asian breeds</w:t>
            </w:r>
          </w:p>
        </w:tc>
        <w:tc>
          <w:tcPr>
            <w:tcW w:type="dxa" w:w="2340"/>
            <w:tcBorders>
              <w:top w:val="single" w:color="CCCCCC" w:sz="2"/>
              <w:left w:val="single" w:color="CCCCCC" w:sz="2"/>
              <w:bottom w:val="single" w:color="CCCCCC" w:sz="2"/>
              <w:right w:val="single" w:color="CCCCCC" w:sz="2"/>
            </w:tcBorders>
            <w:shd w:fill="D6EAD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Multi-modal completeness</w:t>
            </w:r>
          </w:p>
        </w:tc>
        <w:tc>
          <w:tcPr>
            <w:tcW w:type="dxa" w:w="2340"/>
            <w:tcBorders>
              <w:top w:val="single" w:color="CCCCCC" w:sz="2"/>
              <w:left w:val="single" w:color="CCCCCC" w:sz="2"/>
              <w:bottom w:val="single" w:color="CCCCCC" w:sz="2"/>
              <w:right w:val="single" w:color="CCCCCC" w:sz="2"/>
            </w:tcBorders>
            <w:shd w:fill="D6EAD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Price ↔ weight correlation</w:t>
            </w:r>
          </w:p>
        </w:tc>
      </w:tr>
    </w:tbl>
    <w:p>
      <w:pPr>
        <w:spacing w:after="60" w:before="60"/>
      </w:pPr>
      <w:r>
        <w:rPr>
          <w:rFonts w:ascii="Arial" w:cs="Arial" w:eastAsia="Arial" w:hAnsi="Arial"/>
        </w:rPr>
        <w:t xml:space="preserve"/>
      </w:r>
    </w:p>
    <w:p>
      <w:pPr>
        <w:jc w:val="center"/>
      </w:pPr>
      <w:r>
        <w:rPr>
          <w:rFonts w:ascii="Arial" w:cs="Arial" w:eastAsia="Arial" w:hAnsi="Arial"/>
          <w:i/>
          <w:iCs/>
          <w:color w:val="555555"/>
          <w:sz w:val="20"/>
          <w:szCs w:val="20"/>
        </w:rPr>
        <w:t xml:space="preserve">Prepared by Mobasshir Bhuiya Shagor, Staff ML Engineer, Graaho Technologies — April 2026</w:t>
      </w:r>
    </w:p>
    <w:p>
      <w:r>
        <w:br w:type="page"/>
      </w:r>
    </w:p>
    <w:p>
      <w:pPr>
        <w:pStyle w:val="Heading1"/>
        <w:pBdr>
          <w:bottom w:val="single" w:color="2E7D52" w:sz="6" w:space="6"/>
        </w:pBdr>
        <w:spacing w:after="160" w:before="360"/>
      </w:pPr>
      <w:r>
        <w:rPr>
          <w:rFonts w:ascii="Arial" w:cs="Arial" w:eastAsia="Arial" w:hAnsi="Arial"/>
          <w:b/>
          <w:bCs/>
          <w:color w:val="1A5C38"/>
          <w:sz w:val="32"/>
          <w:szCs w:val="32"/>
        </w:rPr>
        <w:t xml:space="preserve">Executive Summary</w:t>
      </w:r>
    </w:p>
    <w:p>
      <w:pPr>
        <w:spacing w:after="140" w:before="60"/>
      </w:pPr>
      <w:r>
        <w:rPr>
          <w:rFonts w:ascii="Arial" w:cs="Arial" w:eastAsia="Arial" w:hAnsi="Arial"/>
          <w:color w:val="1A1A1A"/>
          <w:sz w:val="20"/>
          <w:szCs w:val="20"/>
        </w:rPr>
        <w:t xml:space="preserve">BengalCattle-5Y is a large-scale, longitudinal, multi-modal cattle phenotyping dataset collected from Bengalmeat's commercial Qurbani (Eid ul-Adha) cattle marketplace across five consecutive seasons (2021–2025). It is, to the best of the authors' knowledge, </w:t>
      </w:r>
      <w:r>
        <w:rPr>
          <w:rFonts w:ascii="Arial" w:cs="Arial" w:eastAsia="Arial" w:hAnsi="Arial"/>
          <w:b/>
          <w:bCs/>
          <w:color w:val="1A1A1A"/>
          <w:sz w:val="22"/>
          <w:szCs w:val="22"/>
        </w:rPr>
        <w:t xml:space="preserve">the only publicly available dataset that simultaneously provides ground-truth body weight, morphometric height, multi-view HD images, monocular RGB video, and rich husbandry metadata for the same individual animals</w:t>
      </w:r>
      <w:r>
        <w:rPr>
          <w:rFonts w:ascii="Arial" w:cs="Arial" w:eastAsia="Arial" w:hAnsi="Arial"/>
          <w:color w:val="1A1A1A"/>
          <w:sz w:val="20"/>
          <w:szCs w:val="20"/>
        </w:rPr>
        <w:t xml:space="preserve"> — at a scale exceeding 1,900 cattle. No comparable dataset exists for South Asian breeds. The dataset's combination of commercial-grade ground-truth labels, longitudinal span, and controlled-yet-diverse real-world conditions makes it directly suitable for SOTA publication at venues including CVPR, ECCV, NeurIPS Datasets &amp; Benchmarks, and </w:t>
      </w:r>
      <w:r>
        <w:rPr>
          <w:rFonts w:ascii="Arial" w:cs="Arial" w:eastAsia="Arial" w:hAnsi="Arial"/>
          <w:i/>
          <w:iCs/>
          <w:color w:val="555555"/>
          <w:sz w:val="20"/>
          <w:szCs w:val="20"/>
        </w:rPr>
        <w:t xml:space="preserve">Computers and Electronics in Agriculture.</w:t>
      </w:r>
    </w:p>
    <w:p>
      <w:pPr>
        <w:spacing w:after="60" w:before="60"/>
      </w:pPr>
      <w:r>
        <w:rPr>
          <w:rFonts w:ascii="Arial" w:cs="Arial" w:eastAsia="Arial" w:hAnsi="Arial"/>
        </w:rPr>
        <w:t xml:space="preserve"/>
      </w:r>
    </w:p>
    <w:p>
      <w:pPr>
        <w:pStyle w:val="Heading1"/>
        <w:pBdr>
          <w:bottom w:val="single" w:color="2E7D52" w:sz="6" w:space="6"/>
        </w:pBdr>
        <w:spacing w:after="160" w:before="360"/>
      </w:pPr>
      <w:r>
        <w:rPr>
          <w:rFonts w:ascii="Arial" w:cs="Arial" w:eastAsia="Arial" w:hAnsi="Arial"/>
          <w:b/>
          <w:bCs/>
          <w:color w:val="1A5C38"/>
          <w:sz w:val="32"/>
          <w:szCs w:val="32"/>
        </w:rPr>
        <w:t xml:space="preserve">1.  Scale, Completeness, and Multi-modal Coverage</w:t>
      </w:r>
    </w:p>
    <w:p>
      <w:pPr>
        <w:pStyle w:val="Heading2"/>
        <w:spacing w:after="120" w:before="280"/>
      </w:pPr>
      <w:r>
        <w:rPr>
          <w:rFonts w:ascii="Arial" w:cs="Arial" w:eastAsia="Arial" w:hAnsi="Arial"/>
          <w:b/>
          <w:bCs/>
          <w:color w:val="2E7D52"/>
          <w:sz w:val="26"/>
          <w:szCs w:val="26"/>
        </w:rPr>
        <w:t xml:space="preserve">1.1  Raw Scale vs. Comparable Published Datasets</w:t>
      </w:r>
    </w:p>
    <w:p>
      <w:pPr>
        <w:spacing w:after="140" w:before="60"/>
      </w:pPr>
      <w:r>
        <w:rPr>
          <w:rFonts w:ascii="Arial" w:cs="Arial" w:eastAsia="Arial" w:hAnsi="Arial"/>
          <w:color w:val="1A1A1A"/>
          <w:sz w:val="20"/>
          <w:szCs w:val="20"/>
        </w:rPr>
        <w:t xml:space="preserve">The table below compares BengalCattle-5Y against the most-cited cattle phenotyping datasets in the CV/ML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40"/>
        <w:gridCol w:w="1440"/>
        <w:gridCol w:w="1440"/>
        <w:gridCol w:w="1440"/>
      </w:tblGrid>
      <w:tr>
        <w:tc>
          <w:tcPr>
            <w:tcW w:type="dxa" w:w="240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Dataset</w:t>
            </w:r>
          </w:p>
        </w:tc>
        <w:tc>
          <w:tcPr>
            <w:tcW w:type="dxa" w:w="120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Animals</w:t>
            </w:r>
          </w:p>
        </w:tc>
        <w:tc>
          <w:tcPr>
            <w:tcW w:type="dxa" w:w="144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Images</w:t>
            </w:r>
          </w:p>
        </w:tc>
        <w:tc>
          <w:tcPr>
            <w:tcW w:type="dxa" w:w="144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Video</w:t>
            </w:r>
          </w:p>
        </w:tc>
        <w:tc>
          <w:tcPr>
            <w:tcW w:type="dxa" w:w="144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Wt. GT</w:t>
            </w:r>
          </w:p>
        </w:tc>
        <w:tc>
          <w:tcPr>
            <w:tcW w:type="dxa" w:w="144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Multi-breed</w:t>
            </w:r>
          </w:p>
        </w:tc>
      </w:tr>
      <w:tr>
        <w:tc>
          <w:tcPr>
            <w:tcW w:type="dxa" w:w="2400"/>
            <w:tcBorders>
              <w:top w:val="single" w:color="2E7D52" w:sz="3"/>
              <w:left w:val="single" w:color="2E7D52" w:sz="3"/>
              <w:bottom w:val="single" w:color="2E7D52" w:sz="3"/>
              <w:right w:val="single" w:color="2E7D52" w:sz="3"/>
            </w:tcBorders>
            <w:shd w:fill="D6EAD8" w:val="clear"/>
            <w:tcMar>
              <w:top w:type="dxa" w:w="80"/>
              <w:left w:type="dxa" w:w="120"/>
              <w:bottom w:type="dxa" w:w="80"/>
              <w:right w:type="dxa" w:w="120"/>
            </w:tcMar>
            <w:vAlign w:val="center"/>
          </w:tcPr>
          <w:p>
            <w:pPr>
              <w:jc w:val="left"/>
            </w:pPr>
            <w:r>
              <w:rPr>
                <w:rFonts w:ascii="Arial" w:cs="Arial" w:eastAsia="Arial" w:hAnsi="Arial"/>
                <w:b/>
                <w:bCs/>
                <w:color w:val="2E7D52"/>
                <w:sz w:val="18"/>
                <w:szCs w:val="18"/>
              </w:rPr>
              <w:t xml:space="preserve">BengalCattle-5Y (ours)</w:t>
            </w:r>
          </w:p>
        </w:tc>
        <w:tc>
          <w:tcPr>
            <w:tcW w:type="dxa" w:w="1200"/>
            <w:tcBorders>
              <w:top w:val="single" w:color="2E7D52" w:sz="3"/>
              <w:left w:val="single" w:color="2E7D52" w:sz="3"/>
              <w:bottom w:val="single" w:color="2E7D52" w:sz="3"/>
              <w:right w:val="single" w:color="2E7D52" w:sz="3"/>
            </w:tcBorders>
            <w:shd w:fill="D6EAD8" w:val="clear"/>
            <w:tcMar>
              <w:top w:type="dxa" w:w="80"/>
              <w:left w:type="dxa" w:w="120"/>
              <w:bottom w:type="dxa" w:w="80"/>
              <w:right w:type="dxa" w:w="120"/>
            </w:tcMar>
            <w:vAlign w:val="center"/>
          </w:tcPr>
          <w:p>
            <w:pPr>
              <w:jc w:val="center"/>
            </w:pPr>
            <w:r>
              <w:rPr>
                <w:rFonts w:ascii="Arial" w:cs="Arial" w:eastAsia="Arial" w:hAnsi="Arial"/>
                <w:b/>
                <w:bCs/>
                <w:color w:val="2E7D52"/>
                <w:sz w:val="18"/>
                <w:szCs w:val="18"/>
              </w:rPr>
              <w:t xml:space="preserve">1,928</w:t>
            </w:r>
          </w:p>
        </w:tc>
        <w:tc>
          <w:tcPr>
            <w:tcW w:type="dxa" w:w="1440"/>
            <w:tcBorders>
              <w:top w:val="single" w:color="2E7D52" w:sz="3"/>
              <w:left w:val="single" w:color="2E7D52" w:sz="3"/>
              <w:bottom w:val="single" w:color="2E7D52" w:sz="3"/>
              <w:right w:val="single" w:color="2E7D52" w:sz="3"/>
            </w:tcBorders>
            <w:shd w:fill="D6EAD8" w:val="clear"/>
            <w:tcMar>
              <w:top w:type="dxa" w:w="80"/>
              <w:left w:type="dxa" w:w="120"/>
              <w:bottom w:type="dxa" w:w="80"/>
              <w:right w:type="dxa" w:w="120"/>
            </w:tcMar>
            <w:vAlign w:val="center"/>
          </w:tcPr>
          <w:p>
            <w:pPr>
              <w:jc w:val="center"/>
            </w:pPr>
            <w:r>
              <w:rPr>
                <w:rFonts w:ascii="Arial" w:cs="Arial" w:eastAsia="Arial" w:hAnsi="Arial"/>
                <w:b/>
                <w:bCs/>
                <w:color w:val="2E7D52"/>
                <w:sz w:val="18"/>
                <w:szCs w:val="18"/>
              </w:rPr>
              <w:t xml:space="preserve">7,709</w:t>
            </w:r>
          </w:p>
        </w:tc>
        <w:tc>
          <w:tcPr>
            <w:tcW w:type="dxa" w:w="1440"/>
            <w:tcBorders>
              <w:top w:val="single" w:color="2E7D52" w:sz="3"/>
              <w:left w:val="single" w:color="2E7D52" w:sz="3"/>
              <w:bottom w:val="single" w:color="2E7D52" w:sz="3"/>
              <w:right w:val="single" w:color="2E7D52" w:sz="3"/>
            </w:tcBorders>
            <w:shd w:fill="D6EAD8" w:val="clear"/>
            <w:tcMar>
              <w:top w:type="dxa" w:w="80"/>
              <w:left w:type="dxa" w:w="120"/>
              <w:bottom w:type="dxa" w:w="80"/>
              <w:right w:type="dxa" w:w="120"/>
            </w:tcMar>
            <w:vAlign w:val="center"/>
          </w:tcPr>
          <w:p>
            <w:pPr>
              <w:jc w:val="center"/>
            </w:pPr>
            <w:r>
              <w:rPr>
                <w:rFonts w:ascii="Arial" w:cs="Arial" w:eastAsia="Arial" w:hAnsi="Arial"/>
                <w:b/>
                <w:bCs/>
                <w:color w:val="2E7D52"/>
                <w:sz w:val="18"/>
                <w:szCs w:val="18"/>
              </w:rPr>
              <w:t xml:space="preserve">✓ 1,895</w:t>
            </w:r>
          </w:p>
        </w:tc>
        <w:tc>
          <w:tcPr>
            <w:tcW w:type="dxa" w:w="1440"/>
            <w:tcBorders>
              <w:top w:val="single" w:color="2E7D52" w:sz="3"/>
              <w:left w:val="single" w:color="2E7D52" w:sz="3"/>
              <w:bottom w:val="single" w:color="2E7D52" w:sz="3"/>
              <w:right w:val="single" w:color="2E7D52" w:sz="3"/>
            </w:tcBorders>
            <w:shd w:fill="D6EAD8" w:val="clear"/>
            <w:tcMar>
              <w:top w:type="dxa" w:w="80"/>
              <w:left w:type="dxa" w:w="120"/>
              <w:bottom w:type="dxa" w:w="80"/>
              <w:right w:type="dxa" w:w="120"/>
            </w:tcMar>
            <w:vAlign w:val="center"/>
          </w:tcPr>
          <w:p>
            <w:pPr>
              <w:jc w:val="center"/>
            </w:pPr>
            <w:r>
              <w:rPr>
                <w:rFonts w:ascii="Arial" w:cs="Arial" w:eastAsia="Arial" w:hAnsi="Arial"/>
                <w:b/>
                <w:bCs/>
                <w:color w:val="2E7D52"/>
                <w:sz w:val="18"/>
                <w:szCs w:val="18"/>
              </w:rPr>
              <w:t xml:space="preserve">✓</w:t>
            </w:r>
          </w:p>
        </w:tc>
        <w:tc>
          <w:tcPr>
            <w:tcW w:type="dxa" w:w="1440"/>
            <w:tcBorders>
              <w:top w:val="single" w:color="2E7D52" w:sz="3"/>
              <w:left w:val="single" w:color="2E7D52" w:sz="3"/>
              <w:bottom w:val="single" w:color="2E7D52" w:sz="3"/>
              <w:right w:val="single" w:color="2E7D52" w:sz="3"/>
            </w:tcBorders>
            <w:shd w:fill="D6EAD8" w:val="clear"/>
            <w:tcMar>
              <w:top w:type="dxa" w:w="80"/>
              <w:left w:type="dxa" w:w="120"/>
              <w:bottom w:type="dxa" w:w="80"/>
              <w:right w:type="dxa" w:w="120"/>
            </w:tcMar>
            <w:vAlign w:val="center"/>
          </w:tcPr>
          <w:p>
            <w:pPr>
              <w:jc w:val="center"/>
            </w:pPr>
            <w:r>
              <w:rPr>
                <w:rFonts w:ascii="Arial" w:cs="Arial" w:eastAsia="Arial" w:hAnsi="Arial"/>
                <w:b/>
                <w:bCs/>
                <w:color w:val="2E7D52"/>
                <w:sz w:val="18"/>
                <w:szCs w:val="18"/>
              </w:rPr>
              <w:t xml:space="preserve">✓ 8 breeds</w:t>
            </w:r>
          </w:p>
        </w:tc>
      </w:tr>
      <w:tr>
        <w:tc>
          <w:tcPr>
            <w:tcW w:type="dxa" w:w="24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Ruchay et al. 2022</w:t>
            </w:r>
          </w:p>
        </w:tc>
        <w:tc>
          <w:tcPr>
            <w:tcW w:type="dxa" w:w="12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30</w:t>
            </w:r>
          </w:p>
        </w:tc>
        <w:tc>
          <w:tcPr>
            <w:tcW w:type="dxa" w:w="144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~3,000</w:t>
            </w:r>
          </w:p>
        </w:tc>
        <w:tc>
          <w:tcPr>
            <w:tcW w:type="dxa" w:w="144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 (depth)</w:t>
            </w:r>
          </w:p>
        </w:tc>
        <w:tc>
          <w:tcPr>
            <w:tcW w:type="dxa" w:w="144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w:t>
            </w:r>
          </w:p>
        </w:tc>
        <w:tc>
          <w:tcPr>
            <w:tcW w:type="dxa" w:w="144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 1 breed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Gjergji et al. 2020</w:t>
            </w:r>
          </w:p>
        </w:tc>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~180</w:t>
            </w:r>
          </w:p>
        </w:tc>
        <w:tc>
          <w:tcPr>
            <w:tcW w:type="dxa" w:w="1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~2,000+</w:t>
            </w:r>
          </w:p>
        </w:tc>
        <w:tc>
          <w:tcPr>
            <w:tcW w:type="dxa" w:w="1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 10 breeds</w:t>
            </w:r>
          </w:p>
        </w:tc>
      </w:tr>
      <w:tr>
        <w:tc>
          <w:tcPr>
            <w:tcW w:type="dxa" w:w="24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Qiao et al. 2021</w:t>
            </w:r>
          </w:p>
        </w:tc>
        <w:tc>
          <w:tcPr>
            <w:tcW w:type="dxa" w:w="12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400</w:t>
            </w:r>
          </w:p>
        </w:tc>
        <w:tc>
          <w:tcPr>
            <w:tcW w:type="dxa" w:w="144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~6,000</w:t>
            </w:r>
          </w:p>
        </w:tc>
        <w:tc>
          <w:tcPr>
            <w:tcW w:type="dxa" w:w="144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 (RGB-D)</w:t>
            </w:r>
          </w:p>
        </w:tc>
        <w:tc>
          <w:tcPr>
            <w:tcW w:type="dxa" w:w="144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w:t>
            </w:r>
          </w:p>
        </w:tc>
        <w:tc>
          <w:tcPr>
            <w:tcW w:type="dxa" w:w="144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 1 breed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Cominotte et al. 2020</w:t>
            </w:r>
          </w:p>
        </w:tc>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~500</w:t>
            </w:r>
          </w:p>
        </w:tc>
        <w:tc>
          <w:tcPr>
            <w:tcW w:type="dxa" w:w="1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~1,500</w:t>
            </w:r>
          </w:p>
        </w:tc>
        <w:tc>
          <w:tcPr>
            <w:tcW w:type="dxa" w:w="1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BCS only</w:t>
            </w:r>
          </w:p>
        </w:tc>
        <w:tc>
          <w:tcPr>
            <w:tcW w:type="dxa" w:w="1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D52" w:sz="4"/>
              <w:left w:val="single" w:color="2E7D52" w:sz="4"/>
              <w:bottom w:val="single" w:color="2E7D52" w:sz="4"/>
              <w:right w:val="single" w:color="2E7D52" w:sz="4"/>
            </w:tcBorders>
            <w:shd w:fill="2E7D52"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KEY POINT</w:t>
            </w:r>
          </w:p>
        </w:tc>
        <w:tc>
          <w:tcPr>
            <w:tcW w:type="dxa" w:w="7920"/>
            <w:tcBorders>
              <w:top w:val="single" w:color="2E7D52" w:sz="4"/>
              <w:left w:val="single" w:color="2E7D52" w:sz="4"/>
              <w:bottom w:val="single" w:color="2E7D52" w:sz="4"/>
              <w:right w:val="single" w:color="2E7D52" w:sz="4"/>
            </w:tcBorders>
            <w:shd w:fill="D6EAD8" w:val="clear"/>
            <w:tcMar>
              <w:top w:type="dxa" w:w="120"/>
              <w:left w:type="dxa" w:w="160"/>
              <w:bottom w:type="dxa" w:w="120"/>
              <w:right w:type="dxa" w:w="120"/>
            </w:tcMar>
          </w:tcPr>
          <w:p>
            <w:r>
              <w:rPr>
                <w:rFonts w:ascii="Arial" w:cs="Arial" w:eastAsia="Arial" w:hAnsi="Arial"/>
                <w:color w:val="1A1A1A"/>
                <w:sz w:val="20"/>
                <w:szCs w:val="20"/>
              </w:rPr>
              <w:t xml:space="preserve">At 1,928 animals with paired images, video, weight, and height, BengalCattle-5Y is 6× larger than the closest comparable weight-estimation dataset, and the only one to include uncalibrated monocular video alongside structured husbandry metadata.</w:t>
            </w:r>
          </w:p>
        </w:tc>
      </w:tr>
    </w:tbl>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2E7D52"/>
          <w:sz w:val="26"/>
          <w:szCs w:val="26"/>
        </w:rPr>
        <w:t xml:space="preserve">1.2  Multi-modal Completeness Matrix</w:t>
      </w:r>
    </w:p>
    <w:p>
      <w:pPr>
        <w:spacing w:after="140" w:before="60"/>
      </w:pPr>
      <w:r>
        <w:rPr>
          <w:rFonts w:ascii="Arial" w:cs="Arial" w:eastAsia="Arial" w:hAnsi="Arial"/>
          <w:color w:val="1A1A1A"/>
          <w:sz w:val="20"/>
          <w:szCs w:val="20"/>
        </w:rPr>
        <w:t xml:space="preserve">A central weakness in livestock-CV datasets is incomplete modality pairing — images exist without weight labels, or weight exists without imagery. BengalCattle-5Y achieves near-complete pairing: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Modality Combination</w:t>
            </w:r>
          </w:p>
        </w:tc>
        <w:tc>
          <w:tcPr>
            <w:tcW w:type="dxa" w:w="268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Count</w:t>
            </w:r>
          </w:p>
        </w:tc>
        <w:tc>
          <w:tcPr>
            <w:tcW w:type="dxa" w:w="268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Coverage</w:t>
            </w:r>
          </w:p>
        </w:tc>
      </w:tr>
      <w:tr>
        <w:tc>
          <w:tcPr>
            <w:tcW w:type="dxa" w:w="40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Image only (no video)</w:t>
            </w:r>
          </w:p>
        </w:tc>
        <w:tc>
          <w:tcPr>
            <w:tcW w:type="dxa" w:w="268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33</w:t>
            </w:r>
          </w:p>
        </w:tc>
        <w:tc>
          <w:tcPr>
            <w:tcW w:type="dxa" w:w="268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1.7%</w:t>
            </w:r>
          </w:p>
        </w:tc>
      </w:tr>
      <w:tr>
        <w:tc>
          <w:tcPr>
            <w:tcW w:type="dxa" w:w="4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Image + Video</w:t>
            </w:r>
          </w:p>
        </w:tc>
        <w:tc>
          <w:tcPr>
            <w:tcW w:type="dxa" w:w="4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1,895</w:t>
            </w:r>
          </w:p>
        </w:tc>
        <w:tc>
          <w:tcPr>
            <w:tcW w:type="dxa" w:w="2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98.3%</w:t>
            </w:r>
          </w:p>
        </w:tc>
      </w:tr>
      <w:tr>
        <w:tc>
          <w:tcPr>
            <w:tcW w:type="dxa" w:w="4000"/>
            <w:tcBorders>
              <w:top w:val="single" w:color="2E7D52" w:sz="3"/>
              <w:left w:val="single" w:color="2E7D52" w:sz="3"/>
              <w:bottom w:val="single" w:color="2E7D52" w:sz="3"/>
              <w:right w:val="single" w:color="2E7D52" w:sz="3"/>
            </w:tcBorders>
            <w:shd w:fill="D6EAD8" w:val="clear"/>
            <w:tcMar>
              <w:top w:type="dxa" w:w="80"/>
              <w:left w:type="dxa" w:w="120"/>
              <w:bottom w:type="dxa" w:w="80"/>
              <w:right w:type="dxa" w:w="120"/>
            </w:tcMar>
            <w:vAlign w:val="center"/>
          </w:tcPr>
          <w:p>
            <w:pPr>
              <w:jc w:val="left"/>
            </w:pPr>
            <w:r>
              <w:rPr>
                <w:rFonts w:ascii="Arial" w:cs="Arial" w:eastAsia="Arial" w:hAnsi="Arial"/>
                <w:b/>
                <w:bCs/>
                <w:color w:val="2E7D52"/>
                <w:sz w:val="18"/>
                <w:szCs w:val="18"/>
              </w:rPr>
              <w:t xml:space="preserve">Image + Video + Weight + Height + Breed (Full 5-modal)</w:t>
            </w:r>
          </w:p>
        </w:tc>
        <w:tc>
          <w:tcPr>
            <w:tcW w:type="dxa" w:w="2680"/>
            <w:tcBorders>
              <w:top w:val="single" w:color="2E7D52" w:sz="3"/>
              <w:left w:val="single" w:color="2E7D52" w:sz="3"/>
              <w:bottom w:val="single" w:color="2E7D52" w:sz="3"/>
              <w:right w:val="single" w:color="2E7D52" w:sz="3"/>
            </w:tcBorders>
            <w:shd w:fill="D6EAD8" w:val="clear"/>
            <w:tcMar>
              <w:top w:type="dxa" w:w="80"/>
              <w:left w:type="dxa" w:w="120"/>
              <w:bottom w:type="dxa" w:w="80"/>
              <w:right w:type="dxa" w:w="120"/>
            </w:tcMar>
            <w:vAlign w:val="center"/>
          </w:tcPr>
          <w:p>
            <w:pPr>
              <w:jc w:val="center"/>
            </w:pPr>
            <w:r>
              <w:rPr>
                <w:rFonts w:ascii="Arial" w:cs="Arial" w:eastAsia="Arial" w:hAnsi="Arial"/>
                <w:b/>
                <w:bCs/>
                <w:color w:val="2E7D52"/>
                <w:sz w:val="18"/>
                <w:szCs w:val="18"/>
              </w:rPr>
              <w:t xml:space="preserve">1,735</w:t>
            </w:r>
          </w:p>
        </w:tc>
        <w:tc>
          <w:tcPr>
            <w:tcW w:type="dxa" w:w="2680"/>
            <w:tcBorders>
              <w:top w:val="single" w:color="2E7D52" w:sz="3"/>
              <w:left w:val="single" w:color="2E7D52" w:sz="3"/>
              <w:bottom w:val="single" w:color="2E7D52" w:sz="3"/>
              <w:right w:val="single" w:color="2E7D52" w:sz="3"/>
            </w:tcBorders>
            <w:shd w:fill="D6EAD8" w:val="clear"/>
            <w:tcMar>
              <w:top w:type="dxa" w:w="80"/>
              <w:left w:type="dxa" w:w="120"/>
              <w:bottom w:type="dxa" w:w="80"/>
              <w:right w:type="dxa" w:w="120"/>
            </w:tcMar>
            <w:vAlign w:val="center"/>
          </w:tcPr>
          <w:p>
            <w:pPr>
              <w:jc w:val="center"/>
            </w:pPr>
            <w:r>
              <w:rPr>
                <w:rFonts w:ascii="Arial" w:cs="Arial" w:eastAsia="Arial" w:hAnsi="Arial"/>
                <w:b/>
                <w:bCs/>
                <w:color w:val="2E7D52"/>
                <w:sz w:val="18"/>
                <w:szCs w:val="18"/>
              </w:rPr>
              <w:t xml:space="preserve">90.0%</w:t>
            </w:r>
          </w:p>
        </w:tc>
      </w:tr>
      <w:tr>
        <w:tc>
          <w:tcPr>
            <w:tcW w:type="dxa" w:w="40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Image + Video + Complete health records</w:t>
            </w:r>
          </w:p>
        </w:tc>
        <w:tc>
          <w:tcPr>
            <w:tcW w:type="dxa" w:w="268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1,895</w:t>
            </w:r>
          </w:p>
        </w:tc>
        <w:tc>
          <w:tcPr>
            <w:tcW w:type="dxa" w:w="268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98.3%</w:t>
            </w:r>
          </w:p>
        </w:tc>
      </w:tr>
    </w:tbl>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2E7D52"/>
          <w:sz w:val="26"/>
          <w:szCs w:val="26"/>
        </w:rPr>
        <w:t xml:space="preserve">1.3  Standardised 4-View Image Protocol</w:t>
      </w:r>
    </w:p>
    <w:p>
      <w:pPr>
        <w:spacing w:after="140" w:before="60"/>
      </w:pPr>
      <w:r>
        <w:rPr>
          <w:rFonts w:ascii="Arial" w:cs="Arial" w:eastAsia="Arial" w:hAnsi="Arial"/>
          <w:color w:val="1A1A1A"/>
          <w:sz w:val="20"/>
          <w:szCs w:val="20"/>
        </w:rPr>
        <w:t xml:space="preserve">Every cattle entry has exactly 4 images captured under a consistent commercial photography protocol (indices _0 through _3), corresponding to front/thumbnail, right lateral, rear, and left lateral perspectives. This standardisation is rare in livestock datasets and directly enables:</w:t>
      </w:r>
    </w:p>
    <w:p>
      <w:pPr>
        <w:pStyle w:val="ListParagraph"/>
        <w:numPr>
          <w:ilvl w:val="0"/>
          <w:numId w:val="2"/>
        </w:numPr>
        <w:spacing w:after="40" w:before="40"/>
      </w:pPr>
      <w:r>
        <w:rPr>
          <w:rFonts w:ascii="Arial" w:cs="Arial" w:eastAsia="Arial" w:hAnsi="Arial"/>
          <w:color w:val="1A1A1A"/>
          <w:sz w:val="20"/>
          <w:szCs w:val="20"/>
        </w:rPr>
        <w:t xml:space="preserve">Multi-view 3D body reconstruction without depth sensors</w:t>
      </w:r>
    </w:p>
    <w:p>
      <w:pPr>
        <w:pStyle w:val="ListParagraph"/>
        <w:numPr>
          <w:ilvl w:val="0"/>
          <w:numId w:val="2"/>
        </w:numPr>
        <w:spacing w:after="40" w:before="40"/>
      </w:pPr>
      <w:r>
        <w:rPr>
          <w:rFonts w:ascii="Arial" w:cs="Arial" w:eastAsia="Arial" w:hAnsi="Arial"/>
          <w:color w:val="1A1A1A"/>
          <w:sz w:val="20"/>
          <w:szCs w:val="20"/>
        </w:rPr>
        <w:t xml:space="preserve">Viewpoint-invariant feature learning and cross-view correspondence studies</w:t>
      </w:r>
    </w:p>
    <w:p>
      <w:pPr>
        <w:pStyle w:val="ListParagraph"/>
        <w:numPr>
          <w:ilvl w:val="0"/>
          <w:numId w:val="2"/>
        </w:numPr>
        <w:spacing w:after="40" w:before="40"/>
      </w:pPr>
      <w:r>
        <w:rPr>
          <w:rFonts w:ascii="Arial" w:cs="Arial" w:eastAsia="Arial" w:hAnsi="Arial"/>
          <w:color w:val="1A1A1A"/>
          <w:sz w:val="20"/>
          <w:szCs w:val="20"/>
        </w:rPr>
        <w:t xml:space="preserve">Direct comparison of single-view vs. multi-view fusion model performance</w:t>
      </w:r>
    </w:p>
    <w:p>
      <w:pPr>
        <w:pStyle w:val="ListParagraph"/>
        <w:numPr>
          <w:ilvl w:val="0"/>
          <w:numId w:val="2"/>
        </w:numPr>
        <w:spacing w:after="40" w:before="40"/>
      </w:pPr>
      <w:r>
        <w:rPr>
          <w:rFonts w:ascii="Arial" w:cs="Arial" w:eastAsia="Arial" w:hAnsi="Arial"/>
          <w:color w:val="1A1A1A"/>
          <w:sz w:val="20"/>
          <w:szCs w:val="20"/>
        </w:rPr>
        <w:t xml:space="preserve">Synthetic depth estimation benchmarking using multi-view triangulation as pseudo-GT</w:t>
      </w:r>
    </w:p>
    <w:p>
      <w:pPr>
        <w:spacing w:after="60" w:before="60"/>
      </w:pPr>
      <w:r>
        <w:rPr>
          <w:rFonts w:ascii="Arial" w:cs="Arial" w:eastAsia="Arial" w:hAnsi="Arial"/>
        </w:rPr>
        <w:t xml:space="preserve"/>
      </w:r>
    </w:p>
    <w:p>
      <w:r>
        <w:br w:type="page"/>
      </w:r>
    </w:p>
    <w:p>
      <w:pPr>
        <w:pStyle w:val="Heading1"/>
        <w:pBdr>
          <w:bottom w:val="single" w:color="2E7D52" w:sz="6" w:space="6"/>
        </w:pBdr>
        <w:spacing w:after="160" w:before="360"/>
      </w:pPr>
      <w:r>
        <w:rPr>
          <w:rFonts w:ascii="Arial" w:cs="Arial" w:eastAsia="Arial" w:hAnsi="Arial"/>
          <w:b/>
          <w:bCs/>
          <w:color w:val="1A5C38"/>
          <w:sz w:val="32"/>
          <w:szCs w:val="32"/>
        </w:rPr>
        <w:t xml:space="preserve">2.  Ground-truth Label Quality and Diversity</w:t>
      </w:r>
    </w:p>
    <w:p>
      <w:pPr>
        <w:pStyle w:val="Heading2"/>
        <w:spacing w:after="120" w:before="280"/>
      </w:pPr>
      <w:r>
        <w:rPr>
          <w:rFonts w:ascii="Arial" w:cs="Arial" w:eastAsia="Arial" w:hAnsi="Arial"/>
          <w:b/>
          <w:bCs/>
          <w:color w:val="2E7D52"/>
          <w:sz w:val="26"/>
          <w:szCs w:val="26"/>
        </w:rPr>
        <w:t xml:space="preserve">2.1  Continuous Weight Labels at Commercial Precision</w:t>
      </w:r>
    </w:p>
    <w:p>
      <w:pPr>
        <w:spacing w:after="140" w:before="60"/>
      </w:pPr>
      <w:r>
        <w:rPr>
          <w:rFonts w:ascii="Arial" w:cs="Arial" w:eastAsia="Arial" w:hAnsi="Arial"/>
          <w:color w:val="1A1A1A"/>
          <w:sz w:val="20"/>
          <w:szCs w:val="20"/>
        </w:rPr>
        <w:t xml:space="preserve">Body weight ground-truth is provided in kilograms at the animal level, measured by Bengalmeat using commercial-grade livestock scales at the time of sale listing. The distribution spans a wide and ecologically realistic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1404"/>
        <w:gridCol w:w="1404"/>
        <w:gridCol w:w="1404"/>
        <w:gridCol w:w="1404"/>
      </w:tblGrid>
      <w:tr>
        <w:tc>
          <w:tcPr>
            <w:tcW w:type="dxa" w:w="234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Statistic</w:t>
            </w:r>
          </w:p>
        </w:tc>
        <w:tc>
          <w:tcPr>
            <w:tcW w:type="dxa" w:w="1404"/>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Min</w:t>
            </w:r>
          </w:p>
        </w:tc>
        <w:tc>
          <w:tcPr>
            <w:tcW w:type="dxa" w:w="1404"/>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25th %ile</w:t>
            </w:r>
          </w:p>
        </w:tc>
        <w:tc>
          <w:tcPr>
            <w:tcW w:type="dxa" w:w="1404"/>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Median</w:t>
            </w:r>
          </w:p>
        </w:tc>
        <w:tc>
          <w:tcPr>
            <w:tcW w:type="dxa" w:w="1404"/>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75th %ile</w:t>
            </w:r>
          </w:p>
        </w:tc>
        <w:tc>
          <w:tcPr>
            <w:tcW w:type="dxa" w:w="1404"/>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Max</w:t>
            </w:r>
          </w:p>
        </w:tc>
      </w:tr>
      <w:tr>
        <w:tc>
          <w:tcPr>
            <w:tcW w:type="dxa" w:w="234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Weight (kg)</w:t>
            </w:r>
          </w:p>
        </w:tc>
        <w:tc>
          <w:tcPr>
            <w:tcW w:type="dxa" w:w="1404"/>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0</w:t>
            </w:r>
          </w:p>
        </w:tc>
        <w:tc>
          <w:tcPr>
            <w:tcW w:type="dxa" w:w="1404"/>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213.8</w:t>
            </w:r>
          </w:p>
        </w:tc>
        <w:tc>
          <w:tcPr>
            <w:tcW w:type="dxa" w:w="1404"/>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243.0</w:t>
            </w:r>
          </w:p>
        </w:tc>
        <w:tc>
          <w:tcPr>
            <w:tcW w:type="dxa" w:w="1404"/>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280.0</w:t>
            </w:r>
          </w:p>
        </w:tc>
        <w:tc>
          <w:tcPr>
            <w:tcW w:type="dxa" w:w="1404"/>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826.0</w:t>
            </w:r>
          </w:p>
        </w:tc>
      </w:tr>
      <w:tr>
        <w:tc>
          <w:tcPr>
            <w:tcW w:type="dxa" w:w="23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Height (inch)</w:t>
            </w:r>
          </w:p>
        </w:tc>
        <w:tc>
          <w:tcPr>
            <w:tcW w:type="dxa" w:w="140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4.6</w:t>
            </w:r>
          </w:p>
        </w:tc>
        <w:tc>
          <w:tcPr>
            <w:tcW w:type="dxa" w:w="140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41.1</w:t>
            </w:r>
          </w:p>
        </w:tc>
        <w:tc>
          <w:tcPr>
            <w:tcW w:type="dxa" w:w="140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43.0</w:t>
            </w:r>
          </w:p>
        </w:tc>
        <w:tc>
          <w:tcPr>
            <w:tcW w:type="dxa" w:w="140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45.6</w:t>
            </w:r>
          </w:p>
        </w:tc>
        <w:tc>
          <w:tcPr>
            <w:tcW w:type="dxa" w:w="140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65.0</w:t>
            </w:r>
          </w:p>
        </w:tc>
      </w:tr>
    </w:tbl>
    <w:p>
      <w:pPr>
        <w:spacing w:after="60" w:before="60"/>
      </w:pPr>
      <w:r>
        <w:rPr>
          <w:rFonts w:ascii="Arial" w:cs="Arial" w:eastAsia="Arial" w:hAnsi="Arial"/>
        </w:rPr>
        <w:t xml:space="preserve"/>
      </w:r>
    </w:p>
    <w:p>
      <w:pPr>
        <w:spacing w:after="140" w:before="60"/>
      </w:pPr>
      <w:r>
        <w:rPr>
          <w:rFonts w:ascii="Arial" w:cs="Arial" w:eastAsia="Arial" w:hAnsi="Arial"/>
          <w:color w:val="1A1A1A"/>
          <w:sz w:val="20"/>
          <w:szCs w:val="20"/>
        </w:rPr>
        <w:t xml:space="preserve">Height-weight Pearson correlation is </w:t>
      </w:r>
      <w:r>
        <w:rPr>
          <w:rFonts w:ascii="Arial" w:cs="Arial" w:eastAsia="Arial" w:hAnsi="Arial"/>
          <w:b/>
          <w:bCs/>
          <w:color w:val="1A1A1A"/>
          <w:sz w:val="22"/>
          <w:szCs w:val="22"/>
        </w:rPr>
        <w:t xml:space="preserve">r = 0.493</w:t>
      </w:r>
      <w:r>
        <w:rPr>
          <w:rFonts w:ascii="Arial" w:cs="Arial" w:eastAsia="Arial" w:hAnsi="Arial"/>
          <w:color w:val="1A1A1A"/>
          <w:sz w:val="20"/>
          <w:szCs w:val="20"/>
        </w:rPr>
        <w:t xml:space="preserve">, confirming that height is a meaningful but insufficient predictor alone — making the visual estimation task non-trivial and scientifically interesting. Models must learn shape, body condition, and composition beyond simple size.</w:t>
      </w:r>
    </w:p>
    <w:p>
      <w:pPr>
        <w:pStyle w:val="Heading2"/>
        <w:spacing w:after="120" w:before="280"/>
      </w:pPr>
      <w:r>
        <w:rPr>
          <w:rFonts w:ascii="Arial" w:cs="Arial" w:eastAsia="Arial" w:hAnsi="Arial"/>
          <w:b/>
          <w:bCs/>
          <w:color w:val="2E7D52"/>
          <w:sz w:val="26"/>
          <w:szCs w:val="26"/>
        </w:rPr>
        <w:t xml:space="preserve">2.2  Morphometric Height as a Secondary Label</w:t>
      </w:r>
    </w:p>
    <w:p>
      <w:pPr>
        <w:spacing w:after="140" w:before="60"/>
      </w:pPr>
      <w:r>
        <w:rPr>
          <w:rFonts w:ascii="Arial" w:cs="Arial" w:eastAsia="Arial" w:hAnsi="Arial"/>
          <w:color w:val="1A1A1A"/>
          <w:sz w:val="20"/>
          <w:szCs w:val="20"/>
        </w:rPr>
        <w:t xml:space="preserve">Height at withers (in inches) is recorded for all 1,928 animals. This is significant because most livestock CV papers lack any morphometric measurement beyond weight. Height enables two independent research contributions:</w:t>
      </w:r>
    </w:p>
    <w:p>
      <w:pPr>
        <w:pStyle w:val="ListParagraph"/>
        <w:numPr>
          <w:ilvl w:val="0"/>
          <w:numId w:val="2"/>
        </w:numPr>
        <w:spacing w:after="40" w:before="40"/>
      </w:pPr>
      <w:r>
        <w:rPr>
          <w:rFonts w:ascii="Arial" w:cs="Arial" w:eastAsia="Arial" w:hAnsi="Arial"/>
          <w:color w:val="1A1A1A"/>
          <w:sz w:val="20"/>
          <w:szCs w:val="20"/>
        </w:rPr>
        <w:t xml:space="preserve">Training pixel-to-centimetre calibration models for monocular height estimation from a single image</w:t>
      </w:r>
    </w:p>
    <w:p>
      <w:pPr>
        <w:pStyle w:val="ListParagraph"/>
        <w:numPr>
          <w:ilvl w:val="0"/>
          <w:numId w:val="2"/>
        </w:numPr>
        <w:spacing w:after="40" w:before="40"/>
      </w:pPr>
      <w:r>
        <w:rPr>
          <w:rFonts w:ascii="Arial" w:cs="Arial" w:eastAsia="Arial" w:hAnsi="Arial"/>
          <w:color w:val="1A1A1A"/>
          <w:sz w:val="20"/>
          <w:szCs w:val="20"/>
        </w:rPr>
        <w:t xml:space="preserve">Disentangling height-driven weight variance from body-condition-driven weight variance — a key open problem in non-contact livestock assessment</w:t>
      </w:r>
    </w:p>
    <w:p>
      <w:pPr>
        <w:pStyle w:val="Heading2"/>
        <w:spacing w:after="120" w:before="280"/>
      </w:pPr>
      <w:r>
        <w:rPr>
          <w:rFonts w:ascii="Arial" w:cs="Arial" w:eastAsia="Arial" w:hAnsi="Arial"/>
          <w:b/>
          <w:bCs/>
          <w:color w:val="2E7D52"/>
          <w:sz w:val="26"/>
          <w:szCs w:val="26"/>
        </w:rPr>
        <w:t xml:space="preserve">2.3  Teeth Count as Physiological Age Proxy</w:t>
      </w:r>
    </w:p>
    <w:p>
      <w:pPr>
        <w:spacing w:after="140" w:before="60"/>
      </w:pPr>
      <w:r>
        <w:rPr>
          <w:rFonts w:ascii="Arial" w:cs="Arial" w:eastAsia="Arial" w:hAnsi="Arial"/>
          <w:color w:val="1A1A1A"/>
          <w:sz w:val="20"/>
          <w:szCs w:val="20"/>
        </w:rPr>
        <w:t xml:space="preserve">Dental eruption stage (2, 3, 4, 6, or 8 permanent teeth) provides a veterinarian-graded physiological age index that is more reliable than calendar age. The data reveals a clear monotonic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160"/>
        <w:gridCol w:w="2040"/>
        <w:gridCol w:w="2040"/>
      </w:tblGrid>
      <w:tr>
        <w:tc>
          <w:tcPr>
            <w:tcW w:type="dxa" w:w="156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Teeth</w:t>
            </w:r>
          </w:p>
        </w:tc>
        <w:tc>
          <w:tcPr>
            <w:tcW w:type="dxa" w:w="156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w:t>
            </w:r>
          </w:p>
        </w:tc>
        <w:tc>
          <w:tcPr>
            <w:tcW w:type="dxa" w:w="216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Mean Weight (kg)</w:t>
            </w:r>
          </w:p>
        </w:tc>
        <w:tc>
          <w:tcPr>
            <w:tcW w:type="dxa" w:w="204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Mean Height (in)</w:t>
            </w:r>
          </w:p>
        </w:tc>
        <w:tc>
          <w:tcPr>
            <w:tcW w:type="dxa" w:w="204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Mean Price (BDT)</w:t>
            </w:r>
          </w:p>
        </w:tc>
      </w:tr>
      <w:tr>
        <w:tc>
          <w:tcPr>
            <w:tcW w:type="dxa" w:w="15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 (youngest)</w:t>
            </w:r>
          </w:p>
        </w:tc>
        <w:tc>
          <w:tcPr>
            <w:tcW w:type="dxa" w:w="15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1,406</w:t>
            </w:r>
          </w:p>
        </w:tc>
        <w:tc>
          <w:tcPr>
            <w:tcW w:type="dxa" w:w="21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235.1</w:t>
            </w:r>
          </w:p>
        </w:tc>
        <w:tc>
          <w:tcPr>
            <w:tcW w:type="dxa" w:w="204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43.3</w:t>
            </w:r>
          </w:p>
        </w:tc>
        <w:tc>
          <w:tcPr>
            <w:tcW w:type="dxa" w:w="204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125,429</w:t>
            </w:r>
          </w:p>
        </w:tc>
      </w:tr>
      <w:tr>
        <w:tc>
          <w:tcPr>
            <w:tcW w:type="dxa" w:w="1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4</w:t>
            </w:r>
          </w:p>
        </w:tc>
        <w:tc>
          <w:tcPr>
            <w:tcW w:type="dxa" w:w="1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431</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260.3</w:t>
            </w:r>
          </w:p>
        </w:tc>
        <w:tc>
          <w:tcPr>
            <w:tcW w:type="dxa" w:w="20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44.2</w:t>
            </w:r>
          </w:p>
        </w:tc>
        <w:tc>
          <w:tcPr>
            <w:tcW w:type="dxa" w:w="20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143,411</w:t>
            </w:r>
          </w:p>
        </w:tc>
      </w:tr>
      <w:tr>
        <w:tc>
          <w:tcPr>
            <w:tcW w:type="dxa" w:w="15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6</w:t>
            </w:r>
          </w:p>
        </w:tc>
        <w:tc>
          <w:tcPr>
            <w:tcW w:type="dxa" w:w="15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77</w:t>
            </w:r>
          </w:p>
        </w:tc>
        <w:tc>
          <w:tcPr>
            <w:tcW w:type="dxa" w:w="21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390.2</w:t>
            </w:r>
          </w:p>
        </w:tc>
        <w:tc>
          <w:tcPr>
            <w:tcW w:type="dxa" w:w="204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47.7</w:t>
            </w:r>
          </w:p>
        </w:tc>
        <w:tc>
          <w:tcPr>
            <w:tcW w:type="dxa" w:w="204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229,705</w:t>
            </w:r>
          </w:p>
        </w:tc>
      </w:tr>
      <w:tr>
        <w:tc>
          <w:tcPr>
            <w:tcW w:type="dxa" w:w="1560"/>
            <w:tcBorders>
              <w:top w:val="single" w:color="CCCCCC" w:sz="2"/>
              <w:left w:val="single" w:color="CCCCCC" w:sz="2"/>
              <w:bottom w:val="single" w:color="CCCCCC" w:sz="2"/>
              <w:right w:val="single" w:color="CCCCCC" w:sz="2"/>
            </w:tcBorders>
            <w:shd w:fill="D6EAD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8 (oldest)</w:t>
            </w:r>
          </w:p>
        </w:tc>
        <w:tc>
          <w:tcPr>
            <w:tcW w:type="dxa" w:w="1560"/>
            <w:tcBorders>
              <w:top w:val="single" w:color="CCCCCC" w:sz="2"/>
              <w:left w:val="single" w:color="CCCCCC" w:sz="2"/>
              <w:bottom w:val="single" w:color="CCCCCC" w:sz="2"/>
              <w:right w:val="single" w:color="CCCCCC" w:sz="2"/>
            </w:tcBorders>
            <w:shd w:fill="D6EAD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11</w:t>
            </w:r>
          </w:p>
        </w:tc>
        <w:tc>
          <w:tcPr>
            <w:tcW w:type="dxa" w:w="2160"/>
            <w:tcBorders>
              <w:top w:val="single" w:color="CCCCCC" w:sz="2"/>
              <w:left w:val="single" w:color="CCCCCC" w:sz="2"/>
              <w:bottom w:val="single" w:color="CCCCCC" w:sz="2"/>
              <w:right w:val="single" w:color="CCCCCC" w:sz="2"/>
            </w:tcBorders>
            <w:shd w:fill="D6EAD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399.5</w:t>
            </w:r>
          </w:p>
        </w:tc>
        <w:tc>
          <w:tcPr>
            <w:tcW w:type="dxa" w:w="2040"/>
            <w:tcBorders>
              <w:top w:val="single" w:color="CCCCCC" w:sz="2"/>
              <w:left w:val="single" w:color="CCCCCC" w:sz="2"/>
              <w:bottom w:val="single" w:color="CCCCCC" w:sz="2"/>
              <w:right w:val="single" w:color="CCCCCC" w:sz="2"/>
            </w:tcBorders>
            <w:shd w:fill="D6EAD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46.5</w:t>
            </w:r>
          </w:p>
        </w:tc>
        <w:tc>
          <w:tcPr>
            <w:tcW w:type="dxa" w:w="2040"/>
            <w:tcBorders>
              <w:top w:val="single" w:color="CCCCCC" w:sz="2"/>
              <w:left w:val="single" w:color="CCCCCC" w:sz="2"/>
              <w:bottom w:val="single" w:color="CCCCCC" w:sz="2"/>
              <w:right w:val="single" w:color="CCCCCC" w:sz="2"/>
            </w:tcBorders>
            <w:shd w:fill="D6EAD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287,636</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D52" w:sz="4"/>
              <w:left w:val="single" w:color="2E7D52" w:sz="4"/>
              <w:bottom w:val="single" w:color="2E7D52" w:sz="4"/>
              <w:right w:val="single" w:color="2E7D52" w:sz="4"/>
            </w:tcBorders>
            <w:shd w:fill="2E7D52"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RESEARCH ANGLE</w:t>
            </w:r>
          </w:p>
        </w:tc>
        <w:tc>
          <w:tcPr>
            <w:tcW w:type="dxa" w:w="7920"/>
            <w:tcBorders>
              <w:top w:val="single" w:color="2E7D52" w:sz="4"/>
              <w:left w:val="single" w:color="2E7D52" w:sz="4"/>
              <w:bottom w:val="single" w:color="2E7D52" w:sz="4"/>
              <w:right w:val="single" w:color="2E7D52" w:sz="4"/>
            </w:tcBorders>
            <w:shd w:fill="D6EAD8" w:val="clear"/>
            <w:tcMar>
              <w:top w:type="dxa" w:w="120"/>
              <w:left w:type="dxa" w:w="160"/>
              <w:bottom w:type="dxa" w:w="120"/>
              <w:right w:type="dxa" w:w="120"/>
            </w:tcMar>
          </w:tcPr>
          <w:p>
            <w:r>
              <w:rPr>
                <w:rFonts w:ascii="Arial" w:cs="Arial" w:eastAsia="Arial" w:hAnsi="Arial"/>
                <w:color w:val="1A1A1A"/>
                <w:sz w:val="20"/>
                <w:szCs w:val="20"/>
              </w:rPr>
              <w:t xml:space="preserve">Teeth count enables a novel non-invasive physiological age estimation task — predict teeth class from a facial image — that has direct veterinary utility and no published baseline in South Asian breeds.</w:t>
            </w:r>
          </w:p>
        </w:tc>
      </w:tr>
    </w:tbl>
    <w:p>
      <w:pPr>
        <w:spacing w:after="60" w:before="60"/>
      </w:pPr>
      <w:r>
        <w:rPr>
          <w:rFonts w:ascii="Arial" w:cs="Arial" w:eastAsia="Arial" w:hAnsi="Arial"/>
        </w:rPr>
        <w:t xml:space="preserve"/>
      </w:r>
    </w:p>
    <w:p>
      <w:pPr>
        <w:pStyle w:val="Heading1"/>
        <w:pBdr>
          <w:bottom w:val="single" w:color="2E7D52" w:sz="6" w:space="6"/>
        </w:pBdr>
        <w:spacing w:after="160" w:before="360"/>
      </w:pPr>
      <w:r>
        <w:rPr>
          <w:rFonts w:ascii="Arial" w:cs="Arial" w:eastAsia="Arial" w:hAnsi="Arial"/>
          <w:b/>
          <w:bCs/>
          <w:color w:val="1A5C38"/>
          <w:sz w:val="32"/>
          <w:szCs w:val="32"/>
        </w:rPr>
        <w:t xml:space="preserve">3.  Breed Diversity and Inter-Breed Phenotypic Range</w:t>
      </w:r>
    </w:p>
    <w:p>
      <w:pPr>
        <w:pStyle w:val="Heading2"/>
        <w:spacing w:after="120" w:before="280"/>
      </w:pPr>
      <w:r>
        <w:rPr>
          <w:rFonts w:ascii="Arial" w:cs="Arial" w:eastAsia="Arial" w:hAnsi="Arial"/>
          <w:b/>
          <w:bCs/>
          <w:color w:val="2E7D52"/>
          <w:sz w:val="26"/>
          <w:szCs w:val="26"/>
        </w:rPr>
        <w:t xml:space="preserve">3.1  Eight South Asian Breeds with Substantial Weight Spread</w:t>
      </w:r>
    </w:p>
    <w:p>
      <w:pPr>
        <w:spacing w:after="140" w:before="60"/>
      </w:pPr>
      <w:r>
        <w:rPr>
          <w:rFonts w:ascii="Arial" w:cs="Arial" w:eastAsia="Arial" w:hAnsi="Arial"/>
          <w:color w:val="1A1A1A"/>
          <w:sz w:val="20"/>
          <w:szCs w:val="20"/>
        </w:rPr>
        <w:t xml:space="preserve">The dataset covers 8 cattle breeds spanning a phenotypic weight range of 226 kg (LOCAL) to 648 kg (BRAHMA) mean body weight — a 2.9× range. This makes breed classification non-trivial, as lighter exotic breeds (SINDHI, SAHIWAL) overlap significantly with heavier LOCAL animals.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960"/>
        <w:gridCol w:w="1680"/>
        <w:gridCol w:w="1440"/>
        <w:gridCol w:w="1440"/>
        <w:gridCol w:w="1680"/>
      </w:tblGrid>
      <w:tr>
        <w:tc>
          <w:tcPr>
            <w:tcW w:type="dxa" w:w="216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Breed</w:t>
            </w:r>
          </w:p>
        </w:tc>
        <w:tc>
          <w:tcPr>
            <w:tcW w:type="dxa" w:w="96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w:t>
            </w:r>
          </w:p>
        </w:tc>
        <w:tc>
          <w:tcPr>
            <w:tcW w:type="dxa" w:w="168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Share</w:t>
            </w:r>
          </w:p>
        </w:tc>
        <w:tc>
          <w:tcPr>
            <w:tcW w:type="dxa" w:w="144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Wt. Mean (kg)</w:t>
            </w:r>
          </w:p>
        </w:tc>
        <w:tc>
          <w:tcPr>
            <w:tcW w:type="dxa" w:w="144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Wt. Std (kg)</w:t>
            </w:r>
          </w:p>
        </w:tc>
        <w:tc>
          <w:tcPr>
            <w:tcW w:type="dxa" w:w="168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Price/kg (BDT)</w:t>
            </w:r>
          </w:p>
        </w:tc>
      </w:tr>
      <w:tr>
        <w:tc>
          <w:tcPr>
            <w:tcW w:type="dxa" w:w="21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LOCAL</w:t>
            </w:r>
          </w:p>
        </w:tc>
        <w:tc>
          <w:tcPr>
            <w:tcW w:type="dxa" w:w="9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1,535</w:t>
            </w:r>
          </w:p>
        </w:tc>
        <w:tc>
          <w:tcPr>
            <w:tcW w:type="dxa" w:w="168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79.6%</w:t>
            </w:r>
          </w:p>
        </w:tc>
        <w:tc>
          <w:tcPr>
            <w:tcW w:type="dxa" w:w="144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226.4</w:t>
            </w:r>
          </w:p>
        </w:tc>
        <w:tc>
          <w:tcPr>
            <w:tcW w:type="dxa" w:w="144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91.0</w:t>
            </w:r>
          </w:p>
        </w:tc>
        <w:tc>
          <w:tcPr>
            <w:tcW w:type="dxa" w:w="168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549</w:t>
            </w:r>
          </w:p>
        </w:tc>
      </w:tr>
      <w:tr>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SAHIWAL</w:t>
            </w:r>
          </w:p>
        </w:tc>
        <w:tc>
          <w:tcPr>
            <w:tcW w:type="dxa" w:w="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189</w:t>
            </w:r>
          </w:p>
        </w:tc>
        <w:tc>
          <w:tcPr>
            <w:tcW w:type="dxa" w:w="1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9.8%</w:t>
            </w:r>
          </w:p>
        </w:tc>
        <w:tc>
          <w:tcPr>
            <w:tcW w:type="dxa" w:w="1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322.5</w:t>
            </w:r>
          </w:p>
        </w:tc>
        <w:tc>
          <w:tcPr>
            <w:tcW w:type="dxa" w:w="1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111.8</w:t>
            </w:r>
          </w:p>
        </w:tc>
        <w:tc>
          <w:tcPr>
            <w:tcW w:type="dxa" w:w="1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535</w:t>
            </w:r>
          </w:p>
        </w:tc>
      </w:tr>
      <w:tr>
        <w:tc>
          <w:tcPr>
            <w:tcW w:type="dxa" w:w="21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HOSTINE_CROSS</w:t>
            </w:r>
          </w:p>
        </w:tc>
        <w:tc>
          <w:tcPr>
            <w:tcW w:type="dxa" w:w="9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85</w:t>
            </w:r>
          </w:p>
        </w:tc>
        <w:tc>
          <w:tcPr>
            <w:tcW w:type="dxa" w:w="168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4.4%</w:t>
            </w:r>
          </w:p>
        </w:tc>
        <w:tc>
          <w:tcPr>
            <w:tcW w:type="dxa" w:w="144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432.8</w:t>
            </w:r>
          </w:p>
        </w:tc>
        <w:tc>
          <w:tcPr>
            <w:tcW w:type="dxa" w:w="144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198.9</w:t>
            </w:r>
          </w:p>
        </w:tc>
        <w:tc>
          <w:tcPr>
            <w:tcW w:type="dxa" w:w="168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498</w:t>
            </w:r>
          </w:p>
        </w:tc>
      </w:tr>
      <w:tr>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RED_CHITTAGONG</w:t>
            </w:r>
          </w:p>
        </w:tc>
        <w:tc>
          <w:tcPr>
            <w:tcW w:type="dxa" w:w="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58</w:t>
            </w:r>
          </w:p>
        </w:tc>
        <w:tc>
          <w:tcPr>
            <w:tcW w:type="dxa" w:w="1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3.0%</w:t>
            </w:r>
          </w:p>
        </w:tc>
        <w:tc>
          <w:tcPr>
            <w:tcW w:type="dxa" w:w="1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239.5</w:t>
            </w:r>
          </w:p>
        </w:tc>
        <w:tc>
          <w:tcPr>
            <w:tcW w:type="dxa" w:w="1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54.0</w:t>
            </w:r>
          </w:p>
        </w:tc>
        <w:tc>
          <w:tcPr>
            <w:tcW w:type="dxa" w:w="1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535</w:t>
            </w:r>
          </w:p>
        </w:tc>
      </w:tr>
      <w:tr>
        <w:tc>
          <w:tcPr>
            <w:tcW w:type="dxa" w:w="21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SINDHI</w:t>
            </w:r>
          </w:p>
        </w:tc>
        <w:tc>
          <w:tcPr>
            <w:tcW w:type="dxa" w:w="9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47</w:t>
            </w:r>
          </w:p>
        </w:tc>
        <w:tc>
          <w:tcPr>
            <w:tcW w:type="dxa" w:w="168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2.4%</w:t>
            </w:r>
          </w:p>
        </w:tc>
        <w:tc>
          <w:tcPr>
            <w:tcW w:type="dxa" w:w="144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302.5</w:t>
            </w:r>
          </w:p>
        </w:tc>
        <w:tc>
          <w:tcPr>
            <w:tcW w:type="dxa" w:w="144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77.4</w:t>
            </w:r>
          </w:p>
        </w:tc>
        <w:tc>
          <w:tcPr>
            <w:tcW w:type="dxa" w:w="168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433</w:t>
            </w:r>
          </w:p>
        </w:tc>
      </w:tr>
      <w:tr>
        <w:tc>
          <w:tcPr>
            <w:tcW w:type="dxa" w:w="2160"/>
            <w:tcBorders>
              <w:top w:val="single" w:color="CCCCCC" w:sz="2"/>
              <w:left w:val="single" w:color="CCCCCC" w:sz="2"/>
              <w:bottom w:val="single" w:color="CCCCCC" w:sz="2"/>
              <w:right w:val="single" w:color="CCCCCC" w:sz="2"/>
            </w:tcBorders>
            <w:shd w:fill="D6EAD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BRAHMA</w:t>
            </w:r>
          </w:p>
        </w:tc>
        <w:tc>
          <w:tcPr>
            <w:tcW w:type="dxa" w:w="960"/>
            <w:tcBorders>
              <w:top w:val="single" w:color="CCCCCC" w:sz="2"/>
              <w:left w:val="single" w:color="CCCCCC" w:sz="2"/>
              <w:bottom w:val="single" w:color="CCCCCC" w:sz="2"/>
              <w:right w:val="single" w:color="CCCCCC" w:sz="2"/>
            </w:tcBorders>
            <w:shd w:fill="D6EAD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3</w:t>
            </w:r>
          </w:p>
        </w:tc>
        <w:tc>
          <w:tcPr>
            <w:tcW w:type="dxa" w:w="1680"/>
            <w:tcBorders>
              <w:top w:val="single" w:color="CCCCCC" w:sz="2"/>
              <w:left w:val="single" w:color="CCCCCC" w:sz="2"/>
              <w:bottom w:val="single" w:color="CCCCCC" w:sz="2"/>
              <w:right w:val="single" w:color="CCCCCC" w:sz="2"/>
            </w:tcBorders>
            <w:shd w:fill="D6EAD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0.2%</w:t>
            </w:r>
          </w:p>
        </w:tc>
        <w:tc>
          <w:tcPr>
            <w:tcW w:type="dxa" w:w="1440"/>
            <w:tcBorders>
              <w:top w:val="single" w:color="CCCCCC" w:sz="2"/>
              <w:left w:val="single" w:color="CCCCCC" w:sz="2"/>
              <w:bottom w:val="single" w:color="CCCCCC" w:sz="2"/>
              <w:right w:val="single" w:color="CCCCCC" w:sz="2"/>
            </w:tcBorders>
            <w:shd w:fill="D6EAD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648.0</w:t>
            </w:r>
          </w:p>
        </w:tc>
        <w:tc>
          <w:tcPr>
            <w:tcW w:type="dxa" w:w="1440"/>
            <w:tcBorders>
              <w:top w:val="single" w:color="CCCCCC" w:sz="2"/>
              <w:left w:val="single" w:color="CCCCCC" w:sz="2"/>
              <w:bottom w:val="single" w:color="CCCCCC" w:sz="2"/>
              <w:right w:val="single" w:color="CCCCCC" w:sz="2"/>
            </w:tcBorders>
            <w:shd w:fill="D6EAD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151.4</w:t>
            </w:r>
          </w:p>
        </w:tc>
        <w:tc>
          <w:tcPr>
            <w:tcW w:type="dxa" w:w="1680"/>
            <w:tcBorders>
              <w:top w:val="single" w:color="CCCCCC" w:sz="2"/>
              <w:left w:val="single" w:color="CCCCCC" w:sz="2"/>
              <w:bottom w:val="single" w:color="CCCCCC" w:sz="2"/>
              <w:right w:val="single" w:color="CCCCCC" w:sz="2"/>
            </w:tcBorders>
            <w:shd w:fill="D6EAD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466</w:t>
            </w:r>
          </w:p>
        </w:tc>
      </w:tr>
    </w:tbl>
    <w:p>
      <w:pPr>
        <w:spacing w:after="60" w:before="60"/>
      </w:pPr>
      <w:r>
        <w:rPr>
          <w:rFonts w:ascii="Arial" w:cs="Arial" w:eastAsia="Arial" w:hAnsi="Arial"/>
        </w:rPr>
        <w:t xml:space="preserve"/>
      </w:r>
    </w:p>
    <w:p>
      <w:pPr>
        <w:spacing w:after="140" w:before="60"/>
      </w:pPr>
      <w:r>
        <w:rPr>
          <w:rFonts w:ascii="Arial" w:cs="Arial" w:eastAsia="Arial" w:hAnsi="Arial"/>
          <w:color w:val="1A1A1A"/>
          <w:sz w:val="20"/>
          <w:szCs w:val="20"/>
        </w:rPr>
        <w:t xml:space="preserve">The class imbalance (LOCAL: 79.6% vs. BRAHMA: 0.2%) is an </w:t>
      </w:r>
      <w:r>
        <w:rPr>
          <w:rFonts w:ascii="Arial" w:cs="Arial" w:eastAsia="Arial" w:hAnsi="Arial"/>
          <w:i/>
          <w:iCs/>
          <w:color w:val="555555"/>
          <w:sz w:val="20"/>
          <w:szCs w:val="20"/>
        </w:rPr>
        <w:t xml:space="preserve">ecologically accurate</w:t>
      </w:r>
      <w:r>
        <w:rPr>
          <w:rFonts w:ascii="Arial" w:cs="Arial" w:eastAsia="Arial" w:hAnsi="Arial"/>
          <w:color w:val="1A1A1A"/>
          <w:sz w:val="20"/>
          <w:szCs w:val="20"/>
        </w:rPr>
        <w:t xml:space="preserve"> reflection of the Bangladeshi cattle market and creates a built-in benchmark for studying long-tail recognition and few-shot breed identification — tasks of high practical value that are underserved in the livestock-CV literature.</w:t>
      </w:r>
    </w:p>
    <w:p>
      <w:r>
        <w:br w:type="page"/>
      </w:r>
    </w:p>
    <w:p>
      <w:pPr>
        <w:pStyle w:val="Heading1"/>
        <w:pBdr>
          <w:bottom w:val="single" w:color="2E7D52" w:sz="6" w:space="6"/>
        </w:pBdr>
        <w:spacing w:after="160" w:before="360"/>
      </w:pPr>
      <w:r>
        <w:rPr>
          <w:rFonts w:ascii="Arial" w:cs="Arial" w:eastAsia="Arial" w:hAnsi="Arial"/>
          <w:b/>
          <w:bCs/>
          <w:color w:val="1A5C38"/>
          <w:sz w:val="32"/>
          <w:szCs w:val="32"/>
        </w:rPr>
        <w:t xml:space="preserve">4.  Longitudinal Span and Real-World Distribution Shift</w:t>
      </w:r>
    </w:p>
    <w:p>
      <w:pPr>
        <w:pStyle w:val="Heading2"/>
        <w:spacing w:after="120" w:before="280"/>
      </w:pPr>
      <w:r>
        <w:rPr>
          <w:rFonts w:ascii="Arial" w:cs="Arial" w:eastAsia="Arial" w:hAnsi="Arial"/>
          <w:b/>
          <w:bCs/>
          <w:color w:val="2E7D52"/>
          <w:sz w:val="26"/>
          <w:szCs w:val="26"/>
        </w:rPr>
        <w:t xml:space="preserve">4.1  Five-Year Temporal Coverage (2021–2025)</w:t>
      </w:r>
    </w:p>
    <w:p>
      <w:pPr>
        <w:spacing w:after="140" w:before="60"/>
      </w:pPr>
      <w:r>
        <w:rPr>
          <w:rFonts w:ascii="Arial" w:cs="Arial" w:eastAsia="Arial" w:hAnsi="Arial"/>
          <w:color w:val="1A1A1A"/>
          <w:sz w:val="20"/>
          <w:szCs w:val="20"/>
        </w:rPr>
        <w:t xml:space="preserve">Data was collected across five consecutive Eid ul-Adha seasons. The commercial platform's listing behaviour changed substantially year-over-year, creating a natural and uncontrolled distribution shift that mirrors real-world deployment conditions for any deployed cattle-assessment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60"/>
        <w:gridCol w:w="1440"/>
        <w:gridCol w:w="1440"/>
        <w:gridCol w:w="1440"/>
        <w:gridCol w:w="1440"/>
        <w:gridCol w:w="1440"/>
      </w:tblGrid>
      <w:tr>
        <w:tc>
          <w:tcPr>
            <w:tcW w:type="dxa" w:w="120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Year</w:t>
            </w:r>
          </w:p>
        </w:tc>
        <w:tc>
          <w:tcPr>
            <w:tcW w:type="dxa" w:w="96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w:t>
            </w:r>
          </w:p>
        </w:tc>
        <w:tc>
          <w:tcPr>
            <w:tcW w:type="dxa" w:w="144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Wt. Mean (kg)</w:t>
            </w:r>
          </w:p>
        </w:tc>
        <w:tc>
          <w:tcPr>
            <w:tcW w:type="dxa" w:w="144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Wt. Std</w:t>
            </w:r>
          </w:p>
        </w:tc>
        <w:tc>
          <w:tcPr>
            <w:tcW w:type="dxa" w:w="144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Breeds</w:t>
            </w:r>
          </w:p>
        </w:tc>
        <w:tc>
          <w:tcPr>
            <w:tcW w:type="dxa" w:w="144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Feed Protocol</w:t>
            </w:r>
          </w:p>
        </w:tc>
        <w:tc>
          <w:tcPr>
            <w:tcW w:type="dxa" w:w="144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Price/kg (BDT)</w:t>
            </w:r>
          </w:p>
        </w:tc>
      </w:tr>
      <w:tr>
        <w:tc>
          <w:tcPr>
            <w:tcW w:type="dxa" w:w="12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2021</w:t>
            </w:r>
          </w:p>
        </w:tc>
        <w:tc>
          <w:tcPr>
            <w:tcW w:type="dxa" w:w="9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514</w:t>
            </w:r>
          </w:p>
        </w:tc>
        <w:tc>
          <w:tcPr>
            <w:tcW w:type="dxa" w:w="144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254</w:t>
            </w:r>
          </w:p>
        </w:tc>
        <w:tc>
          <w:tcPr>
            <w:tcW w:type="dxa" w:w="144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77</w:t>
            </w:r>
          </w:p>
        </w:tc>
        <w:tc>
          <w:tcPr>
            <w:tcW w:type="dxa" w:w="144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8</w:t>
            </w:r>
          </w:p>
        </w:tc>
        <w:tc>
          <w:tcPr>
            <w:tcW w:type="dxa" w:w="144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Intensive grain</w:t>
            </w:r>
          </w:p>
        </w:tc>
        <w:tc>
          <w:tcPr>
            <w:tcW w:type="dxa" w:w="144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421</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2022</w:t>
            </w:r>
          </w:p>
        </w:tc>
        <w:tc>
          <w:tcPr>
            <w:tcW w:type="dxa" w:w="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629</w:t>
            </w:r>
          </w:p>
        </w:tc>
        <w:tc>
          <w:tcPr>
            <w:tcW w:type="dxa" w:w="1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272</w:t>
            </w:r>
          </w:p>
        </w:tc>
        <w:tc>
          <w:tcPr>
            <w:tcW w:type="dxa" w:w="1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81</w:t>
            </w:r>
          </w:p>
        </w:tc>
        <w:tc>
          <w:tcPr>
            <w:tcW w:type="dxa" w:w="1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7</w:t>
            </w:r>
          </w:p>
        </w:tc>
        <w:tc>
          <w:tcPr>
            <w:tcW w:type="dxa" w:w="1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Intensive grain</w:t>
            </w:r>
          </w:p>
        </w:tc>
        <w:tc>
          <w:tcPr>
            <w:tcW w:type="dxa" w:w="1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549</w:t>
            </w:r>
          </w:p>
        </w:tc>
      </w:tr>
      <w:tr>
        <w:tc>
          <w:tcPr>
            <w:tcW w:type="dxa" w:w="12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2023</w:t>
            </w:r>
          </w:p>
        </w:tc>
        <w:tc>
          <w:tcPr>
            <w:tcW w:type="dxa" w:w="9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399</w:t>
            </w:r>
          </w:p>
        </w:tc>
        <w:tc>
          <w:tcPr>
            <w:tcW w:type="dxa" w:w="144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295</w:t>
            </w:r>
          </w:p>
        </w:tc>
        <w:tc>
          <w:tcPr>
            <w:tcW w:type="dxa" w:w="144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107</w:t>
            </w:r>
          </w:p>
        </w:tc>
        <w:tc>
          <w:tcPr>
            <w:tcW w:type="dxa" w:w="144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5</w:t>
            </w:r>
          </w:p>
        </w:tc>
        <w:tc>
          <w:tcPr>
            <w:tcW w:type="dxa" w:w="144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Grass-based shift</w:t>
            </w:r>
          </w:p>
        </w:tc>
        <w:tc>
          <w:tcPr>
            <w:tcW w:type="dxa" w:w="144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630</w:t>
            </w:r>
          </w:p>
        </w:tc>
      </w:tr>
      <w:tr>
        <w:tc>
          <w:tcPr>
            <w:tcW w:type="dxa" w:w="1200"/>
            <w:tcBorders>
              <w:top w:val="single" w:color="2E7D52" w:sz="3"/>
              <w:left w:val="single" w:color="2E7D52" w:sz="3"/>
              <w:bottom w:val="single" w:color="2E7D52" w:sz="3"/>
              <w:right w:val="single" w:color="2E7D52" w:sz="3"/>
            </w:tcBorders>
            <w:shd w:fill="D6EAD8" w:val="clear"/>
            <w:tcMar>
              <w:top w:type="dxa" w:w="80"/>
              <w:left w:type="dxa" w:w="120"/>
              <w:bottom w:type="dxa" w:w="80"/>
              <w:right w:type="dxa" w:w="120"/>
            </w:tcMar>
            <w:vAlign w:val="center"/>
          </w:tcPr>
          <w:p>
            <w:pPr>
              <w:jc w:val="center"/>
            </w:pPr>
            <w:r>
              <w:rPr>
                <w:rFonts w:ascii="Arial" w:cs="Arial" w:eastAsia="Arial" w:hAnsi="Arial"/>
                <w:b/>
                <w:bCs/>
                <w:color w:val="2E7D52"/>
                <w:sz w:val="18"/>
                <w:szCs w:val="18"/>
              </w:rPr>
              <w:t xml:space="preserve">2024</w:t>
            </w:r>
          </w:p>
        </w:tc>
        <w:tc>
          <w:tcPr>
            <w:tcW w:type="dxa" w:w="960"/>
            <w:tcBorders>
              <w:top w:val="single" w:color="2E7D52" w:sz="3"/>
              <w:left w:val="single" w:color="2E7D52" w:sz="3"/>
              <w:bottom w:val="single" w:color="2E7D52" w:sz="3"/>
              <w:right w:val="single" w:color="2E7D52" w:sz="3"/>
            </w:tcBorders>
            <w:shd w:fill="D6EAD8" w:val="clear"/>
            <w:tcMar>
              <w:top w:type="dxa" w:w="80"/>
              <w:left w:type="dxa" w:w="120"/>
              <w:bottom w:type="dxa" w:w="80"/>
              <w:right w:type="dxa" w:w="120"/>
            </w:tcMar>
            <w:vAlign w:val="center"/>
          </w:tcPr>
          <w:p>
            <w:pPr>
              <w:jc w:val="center"/>
            </w:pPr>
            <w:r>
              <w:rPr>
                <w:rFonts w:ascii="Arial" w:cs="Arial" w:eastAsia="Arial" w:hAnsi="Arial"/>
                <w:b/>
                <w:bCs/>
                <w:color w:val="2E7D52"/>
                <w:sz w:val="18"/>
                <w:szCs w:val="18"/>
              </w:rPr>
              <w:t xml:space="preserve">386</w:t>
            </w:r>
          </w:p>
        </w:tc>
        <w:tc>
          <w:tcPr>
            <w:tcW w:type="dxa" w:w="1440"/>
            <w:tcBorders>
              <w:top w:val="single" w:color="2E7D52" w:sz="3"/>
              <w:left w:val="single" w:color="2E7D52" w:sz="3"/>
              <w:bottom w:val="single" w:color="2E7D52" w:sz="3"/>
              <w:right w:val="single" w:color="2E7D52" w:sz="3"/>
            </w:tcBorders>
            <w:shd w:fill="D6EAD8" w:val="clear"/>
            <w:tcMar>
              <w:top w:type="dxa" w:w="80"/>
              <w:left w:type="dxa" w:w="120"/>
              <w:bottom w:type="dxa" w:w="80"/>
              <w:right w:type="dxa" w:w="120"/>
            </w:tcMar>
            <w:vAlign w:val="center"/>
          </w:tcPr>
          <w:p>
            <w:pPr>
              <w:jc w:val="center"/>
            </w:pPr>
            <w:r>
              <w:rPr>
                <w:rFonts w:ascii="Arial" w:cs="Arial" w:eastAsia="Arial" w:hAnsi="Arial"/>
                <w:b/>
                <w:bCs/>
                <w:color w:val="2E7D52"/>
                <w:sz w:val="18"/>
                <w:szCs w:val="18"/>
              </w:rPr>
              <w:t xml:space="preserve">152 (↓)</w:t>
            </w:r>
          </w:p>
        </w:tc>
        <w:tc>
          <w:tcPr>
            <w:tcW w:type="dxa" w:w="1440"/>
            <w:tcBorders>
              <w:top w:val="single" w:color="2E7D52" w:sz="3"/>
              <w:left w:val="single" w:color="2E7D52" w:sz="3"/>
              <w:bottom w:val="single" w:color="2E7D52" w:sz="3"/>
              <w:right w:val="single" w:color="2E7D52" w:sz="3"/>
            </w:tcBorders>
            <w:shd w:fill="D6EAD8" w:val="clear"/>
            <w:tcMar>
              <w:top w:type="dxa" w:w="80"/>
              <w:left w:type="dxa" w:w="120"/>
              <w:bottom w:type="dxa" w:w="80"/>
              <w:right w:type="dxa" w:w="120"/>
            </w:tcMar>
            <w:vAlign w:val="center"/>
          </w:tcPr>
          <w:p>
            <w:pPr>
              <w:jc w:val="center"/>
            </w:pPr>
            <w:r>
              <w:rPr>
                <w:rFonts w:ascii="Arial" w:cs="Arial" w:eastAsia="Arial" w:hAnsi="Arial"/>
                <w:b/>
                <w:bCs/>
                <w:color w:val="2E7D52"/>
                <w:sz w:val="18"/>
                <w:szCs w:val="18"/>
              </w:rPr>
              <w:t xml:space="preserve">141</w:t>
            </w:r>
          </w:p>
        </w:tc>
        <w:tc>
          <w:tcPr>
            <w:tcW w:type="dxa" w:w="1440"/>
            <w:tcBorders>
              <w:top w:val="single" w:color="2E7D52" w:sz="3"/>
              <w:left w:val="single" w:color="2E7D52" w:sz="3"/>
              <w:bottom w:val="single" w:color="2E7D52" w:sz="3"/>
              <w:right w:val="single" w:color="2E7D52" w:sz="3"/>
            </w:tcBorders>
            <w:shd w:fill="D6EAD8" w:val="clear"/>
            <w:tcMar>
              <w:top w:type="dxa" w:w="80"/>
              <w:left w:type="dxa" w:w="120"/>
              <w:bottom w:type="dxa" w:w="80"/>
              <w:right w:type="dxa" w:w="120"/>
            </w:tcMar>
            <w:vAlign w:val="center"/>
          </w:tcPr>
          <w:p>
            <w:pPr>
              <w:jc w:val="center"/>
            </w:pPr>
            <w:r>
              <w:rPr>
                <w:rFonts w:ascii="Arial" w:cs="Arial" w:eastAsia="Arial" w:hAnsi="Arial"/>
                <w:b/>
                <w:bCs/>
                <w:color w:val="2E7D52"/>
                <w:sz w:val="18"/>
                <w:szCs w:val="18"/>
              </w:rPr>
              <w:t xml:space="preserve">4</w:t>
            </w:r>
          </w:p>
        </w:tc>
        <w:tc>
          <w:tcPr>
            <w:tcW w:type="dxa" w:w="1440"/>
            <w:tcBorders>
              <w:top w:val="single" w:color="2E7D52" w:sz="3"/>
              <w:left w:val="single" w:color="2E7D52" w:sz="3"/>
              <w:bottom w:val="single" w:color="2E7D52" w:sz="3"/>
              <w:right w:val="single" w:color="2E7D52" w:sz="3"/>
            </w:tcBorders>
            <w:shd w:fill="D6EAD8" w:val="clear"/>
            <w:tcMar>
              <w:top w:type="dxa" w:w="80"/>
              <w:left w:type="dxa" w:w="120"/>
              <w:bottom w:type="dxa" w:w="80"/>
              <w:right w:type="dxa" w:w="120"/>
            </w:tcMar>
            <w:vAlign w:val="center"/>
          </w:tcPr>
          <w:p>
            <w:pPr>
              <w:jc w:val="center"/>
            </w:pPr>
            <w:r>
              <w:rPr>
                <w:rFonts w:ascii="Arial" w:cs="Arial" w:eastAsia="Arial" w:hAnsi="Arial"/>
                <w:b/>
                <w:bCs/>
                <w:color w:val="2E7D52"/>
                <w:sz w:val="18"/>
                <w:szCs w:val="18"/>
              </w:rPr>
              <w:t xml:space="preserve">Grass-grain</w:t>
            </w:r>
          </w:p>
        </w:tc>
        <w:tc>
          <w:tcPr>
            <w:tcW w:type="dxa" w:w="1440"/>
            <w:tcBorders>
              <w:top w:val="single" w:color="2E7D52" w:sz="3"/>
              <w:left w:val="single" w:color="2E7D52" w:sz="3"/>
              <w:bottom w:val="single" w:color="2E7D52" w:sz="3"/>
              <w:right w:val="single" w:color="2E7D52" w:sz="3"/>
            </w:tcBorders>
            <w:shd w:fill="D6EAD8" w:val="clear"/>
            <w:tcMar>
              <w:top w:type="dxa" w:w="80"/>
              <w:left w:type="dxa" w:w="120"/>
              <w:bottom w:type="dxa" w:w="80"/>
              <w:right w:type="dxa" w:w="120"/>
            </w:tcMar>
            <w:vAlign w:val="center"/>
          </w:tcPr>
          <w:p>
            <w:pPr>
              <w:jc w:val="center"/>
            </w:pPr>
            <w:r>
              <w:rPr>
                <w:rFonts w:ascii="Arial" w:cs="Arial" w:eastAsia="Arial" w:hAnsi="Arial"/>
                <w:b/>
                <w:bCs/>
                <w:color w:val="2E7D52"/>
                <w:sz w:val="18"/>
                <w:szCs w:val="18"/>
              </w:rPr>
              <w:t xml:space="preserve">629</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D52" w:sz="4"/>
              <w:left w:val="single" w:color="2E7D52" w:sz="4"/>
              <w:bottom w:val="single" w:color="2E7D52" w:sz="4"/>
              <w:right w:val="single" w:color="2E7D52" w:sz="4"/>
            </w:tcBorders>
            <w:shd w:fill="2E7D52"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UNIQUE FINDING</w:t>
            </w:r>
          </w:p>
        </w:tc>
        <w:tc>
          <w:tcPr>
            <w:tcW w:type="dxa" w:w="7920"/>
            <w:tcBorders>
              <w:top w:val="single" w:color="2E7D52" w:sz="4"/>
              <w:left w:val="single" w:color="2E7D52" w:sz="4"/>
              <w:bottom w:val="single" w:color="2E7D52" w:sz="4"/>
              <w:right w:val="single" w:color="2E7D52" w:sz="4"/>
            </w:tcBorders>
            <w:shd w:fill="D6EAD8" w:val="clear"/>
            <w:tcMar>
              <w:top w:type="dxa" w:w="120"/>
              <w:left w:type="dxa" w:w="160"/>
              <w:bottom w:type="dxa" w:w="120"/>
              <w:right w:type="dxa" w:w="120"/>
            </w:tcMar>
          </w:tcPr>
          <w:p>
            <w:r>
              <w:rPr>
                <w:rFonts w:ascii="Arial" w:cs="Arial" w:eastAsia="Arial" w:hAnsi="Arial"/>
                <w:color w:val="1A1A1A"/>
                <w:sz w:val="20"/>
                <w:szCs w:val="20"/>
              </w:rPr>
              <w:t xml:space="preserve">The 2024 season shows a dramatic drop in mean weight (295 kg → 152 kg) with simultaneously higher std (107 → 141 kg) — suggesting a shift toward younger/smaller animals being listed while price-per-kg remained stable at 629 BDT. This creates a high-impact covariate shift benchmark unavailable in any existing livestock dataset.</w:t>
            </w:r>
          </w:p>
        </w:tc>
      </w:tr>
    </w:tbl>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2E7D52"/>
          <w:sz w:val="26"/>
          <w:szCs w:val="26"/>
        </w:rPr>
        <w:t xml:space="preserve">4.2  Feed Regimen Transition as a Controlled Confound</w:t>
      </w:r>
    </w:p>
    <w:p>
      <w:pPr>
        <w:spacing w:after="140" w:before="60"/>
      </w:pPr>
      <w:r>
        <w:rPr>
          <w:rFonts w:ascii="Arial" w:cs="Arial" w:eastAsia="Arial" w:hAnsi="Arial"/>
          <w:color w:val="1A1A1A"/>
          <w:sz w:val="20"/>
          <w:szCs w:val="20"/>
        </w:rPr>
        <w:t xml:space="preserve">The shift from intensive multi-component grain feeding (2021–2022: JUMBOO, LUCERNE, NAPIER, SILAGE, STRAW, CORN, CONCENTRATE_MIX) to simplified grass-based protocols (2023–2024: GRASS_GRAIN_FED, GRASS_FED_GRASS_FINISHED) is documented in the metadata. This creates:</w:t>
      </w:r>
    </w:p>
    <w:p>
      <w:pPr>
        <w:pStyle w:val="ListParagraph"/>
        <w:numPr>
          <w:ilvl w:val="0"/>
          <w:numId w:val="2"/>
        </w:numPr>
        <w:spacing w:after="40" w:before="40"/>
      </w:pPr>
      <w:r>
        <w:rPr>
          <w:rFonts w:ascii="Arial" w:cs="Arial" w:eastAsia="Arial" w:hAnsi="Arial"/>
          <w:color w:val="1A1A1A"/>
          <w:sz w:val="20"/>
          <w:szCs w:val="20"/>
        </w:rPr>
        <w:t xml:space="preserve">A natural experiment for studying feed-regime effects on visible body phenotype from imagery</w:t>
      </w:r>
    </w:p>
    <w:p>
      <w:pPr>
        <w:pStyle w:val="ListParagraph"/>
        <w:numPr>
          <w:ilvl w:val="0"/>
          <w:numId w:val="2"/>
        </w:numPr>
        <w:spacing w:after="40" w:before="40"/>
      </w:pPr>
      <w:r>
        <w:rPr>
          <w:rFonts w:ascii="Arial" w:cs="Arial" w:eastAsia="Arial" w:hAnsi="Arial"/>
          <w:color w:val="1A1A1A"/>
          <w:sz w:val="20"/>
          <w:szCs w:val="20"/>
        </w:rPr>
        <w:t xml:space="preserve">A confound-aware training protocol — models can be explicitly conditioned on feed type</w:t>
      </w:r>
    </w:p>
    <w:p>
      <w:pPr>
        <w:pStyle w:val="ListParagraph"/>
        <w:numPr>
          <w:ilvl w:val="0"/>
          <w:numId w:val="2"/>
        </w:numPr>
        <w:spacing w:after="40" w:before="40"/>
      </w:pPr>
      <w:r>
        <w:rPr>
          <w:rFonts w:ascii="Arial" w:cs="Arial" w:eastAsia="Arial" w:hAnsi="Arial"/>
          <w:color w:val="1A1A1A"/>
          <w:sz w:val="20"/>
          <w:szCs w:val="20"/>
        </w:rPr>
        <w:t xml:space="preserve">A domain-adaptation benchmark: can features learned on intensively-fed cattle generalise to grass-fed animals?</w:t>
      </w:r>
    </w:p>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2E7D52"/>
          <w:sz w:val="26"/>
          <w:szCs w:val="26"/>
        </w:rPr>
        <w:t xml:space="preserve">4.3  Year-Based Temporal Splits for Generalisation Studies</w:t>
      </w:r>
    </w:p>
    <w:p>
      <w:pPr>
        <w:spacing w:after="140" w:before="60"/>
      </w:pPr>
      <w:r>
        <w:rPr>
          <w:rFonts w:ascii="Arial" w:cs="Arial" w:eastAsia="Arial" w:hAnsi="Arial"/>
          <w:color w:val="1A1A1A"/>
          <w:sz w:val="20"/>
          <w:szCs w:val="20"/>
        </w:rPr>
        <w:t xml:space="preserve">Unlike most livestock datasets with random train/test splits (which leak temporal information), BengalCattle-5Y supports:</w:t>
      </w:r>
    </w:p>
    <w:p>
      <w:pPr>
        <w:pStyle w:val="ListParagraph"/>
        <w:numPr>
          <w:ilvl w:val="0"/>
          <w:numId w:val="2"/>
        </w:numPr>
        <w:spacing w:after="40" w:before="40"/>
      </w:pPr>
      <w:r>
        <w:rPr>
          <w:rFonts w:ascii="Arial" w:cs="Arial" w:eastAsia="Arial" w:hAnsi="Arial"/>
          <w:color w:val="1A1A1A"/>
          <w:sz w:val="20"/>
          <w:szCs w:val="20"/>
        </w:rPr>
        <w:t xml:space="preserve">In-season evaluation: train on 3 seasons, test on held-out season</w:t>
      </w:r>
    </w:p>
    <w:p>
      <w:pPr>
        <w:pStyle w:val="ListParagraph"/>
        <w:numPr>
          <w:ilvl w:val="0"/>
          <w:numId w:val="2"/>
        </w:numPr>
        <w:spacing w:after="40" w:before="40"/>
      </w:pPr>
      <w:r>
        <w:rPr>
          <w:rFonts w:ascii="Arial" w:cs="Arial" w:eastAsia="Arial" w:hAnsi="Arial"/>
          <w:color w:val="1A1A1A"/>
          <w:sz w:val="20"/>
          <w:szCs w:val="20"/>
        </w:rPr>
        <w:t xml:space="preserve">Progressive fine-tuning: simulate a model that is updated each Eid season</w:t>
      </w:r>
    </w:p>
    <w:p>
      <w:pPr>
        <w:pStyle w:val="ListParagraph"/>
        <w:numPr>
          <w:ilvl w:val="0"/>
          <w:numId w:val="2"/>
        </w:numPr>
        <w:spacing w:after="40" w:before="40"/>
      </w:pPr>
      <w:r>
        <w:rPr>
          <w:rFonts w:ascii="Arial" w:cs="Arial" w:eastAsia="Arial" w:hAnsi="Arial"/>
          <w:color w:val="1A1A1A"/>
          <w:sz w:val="20"/>
          <w:szCs w:val="20"/>
        </w:rPr>
        <w:t xml:space="preserve">Zero-shot year generalisation: train 2021–2023, test 2024 without any 2024 data — this is the realistic deployment scenario for a commercial cattle assessment system</w:t>
      </w:r>
    </w:p>
    <w:p>
      <w:r>
        <w:br w:type="page"/>
      </w:r>
    </w:p>
    <w:p>
      <w:pPr>
        <w:pStyle w:val="Heading1"/>
        <w:pBdr>
          <w:bottom w:val="single" w:color="2E7D52" w:sz="6" w:space="6"/>
        </w:pBdr>
        <w:spacing w:after="160" w:before="360"/>
      </w:pPr>
      <w:r>
        <w:rPr>
          <w:rFonts w:ascii="Arial" w:cs="Arial" w:eastAsia="Arial" w:hAnsi="Arial"/>
          <w:b/>
          <w:bCs/>
          <w:color w:val="1A5C38"/>
          <w:sz w:val="32"/>
          <w:szCs w:val="32"/>
        </w:rPr>
        <w:t xml:space="preserve">5.  Husbandry Metadata: A Unique Research Enabler</w:t>
      </w:r>
    </w:p>
    <w:p>
      <w:pPr>
        <w:pStyle w:val="Heading2"/>
        <w:spacing w:after="120" w:before="280"/>
      </w:pPr>
      <w:r>
        <w:rPr>
          <w:rFonts w:ascii="Arial" w:cs="Arial" w:eastAsia="Arial" w:hAnsi="Arial"/>
          <w:b/>
          <w:bCs/>
          <w:color w:val="2E7D52"/>
          <w:sz w:val="26"/>
          <w:szCs w:val="26"/>
        </w:rPr>
        <w:t xml:space="preserve">5.1  Health Protocol Records</w:t>
      </w:r>
    </w:p>
    <w:p>
      <w:pPr>
        <w:spacing w:after="140" w:before="60"/>
      </w:pPr>
      <w:r>
        <w:rPr>
          <w:rFonts w:ascii="Arial" w:cs="Arial" w:eastAsia="Arial" w:hAnsi="Arial"/>
          <w:color w:val="1A1A1A"/>
          <w:sz w:val="20"/>
          <w:szCs w:val="20"/>
        </w:rPr>
        <w:t xml:space="preserve">Near-complete vaccination and health certification data is embedded in the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c>
          <w:tcPr>
            <w:tcW w:type="dxa" w:w="360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Health Field</w:t>
            </w:r>
          </w:p>
        </w:tc>
        <w:tc>
          <w:tcPr>
            <w:tcW w:type="dxa" w:w="192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Recorded Yes</w:t>
            </w:r>
          </w:p>
        </w:tc>
        <w:tc>
          <w:tcPr>
            <w:tcW w:type="dxa" w:w="192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Coverage</w:t>
            </w:r>
          </w:p>
        </w:tc>
        <w:tc>
          <w:tcPr>
            <w:tcW w:type="dxa" w:w="192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Research Utility</w:t>
            </w:r>
          </w:p>
        </w:tc>
      </w:tr>
      <w:tr>
        <w:tc>
          <w:tcPr>
            <w:tcW w:type="dxa" w:w="36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Dewormed</w:t>
            </w:r>
          </w:p>
        </w:tc>
        <w:tc>
          <w:tcPr>
            <w:tcW w:type="dxa" w:w="192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1,925</w:t>
            </w:r>
          </w:p>
        </w:tc>
        <w:tc>
          <w:tcPr>
            <w:tcW w:type="dxa" w:w="192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99.8%</w:t>
            </w:r>
          </w:p>
        </w:tc>
        <w:tc>
          <w:tcPr>
            <w:tcW w:type="dxa" w:w="192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Parasite load proxy</w:t>
            </w:r>
          </w:p>
        </w:tc>
      </w:tr>
      <w:tr>
        <w:tc>
          <w:tcPr>
            <w:tcW w:type="dxa" w:w="3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FMD Vaccinated</w:t>
            </w:r>
          </w:p>
        </w:tc>
        <w:tc>
          <w:tcPr>
            <w:tcW w:type="dxa" w:w="19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1,925</w:t>
            </w:r>
          </w:p>
        </w:tc>
        <w:tc>
          <w:tcPr>
            <w:tcW w:type="dxa" w:w="19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99.8%</w:t>
            </w:r>
          </w:p>
        </w:tc>
        <w:tc>
          <w:tcPr>
            <w:tcW w:type="dxa" w:w="19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Disease risk label</w:t>
            </w:r>
          </w:p>
        </w:tc>
      </w:tr>
      <w:tr>
        <w:tc>
          <w:tcPr>
            <w:tcW w:type="dxa" w:w="36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Anthrax Vaccinated</w:t>
            </w:r>
          </w:p>
        </w:tc>
        <w:tc>
          <w:tcPr>
            <w:tcW w:type="dxa" w:w="192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1,925</w:t>
            </w:r>
          </w:p>
        </w:tc>
        <w:tc>
          <w:tcPr>
            <w:tcW w:type="dxa" w:w="192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99.8%</w:t>
            </w:r>
          </w:p>
        </w:tc>
        <w:tc>
          <w:tcPr>
            <w:tcW w:type="dxa" w:w="192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Biosecurity label</w:t>
            </w:r>
          </w:p>
        </w:tc>
      </w:tr>
      <w:tr>
        <w:tc>
          <w:tcPr>
            <w:tcW w:type="dxa" w:w="3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Lumpy Skin Disease</w:t>
            </w:r>
          </w:p>
        </w:tc>
        <w:tc>
          <w:tcPr>
            <w:tcW w:type="dxa" w:w="19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1,923</w:t>
            </w:r>
          </w:p>
        </w:tc>
        <w:tc>
          <w:tcPr>
            <w:tcW w:type="dxa" w:w="19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99.7%</w:t>
            </w:r>
          </w:p>
        </w:tc>
        <w:tc>
          <w:tcPr>
            <w:tcW w:type="dxa" w:w="19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Skin lesion baseline</w:t>
            </w:r>
          </w:p>
        </w:tc>
      </w:tr>
    </w:tbl>
    <w:p>
      <w:pPr>
        <w:spacing w:after="60" w:before="60"/>
      </w:pPr>
      <w:r>
        <w:rPr>
          <w:rFonts w:ascii="Arial" w:cs="Arial" w:eastAsia="Arial" w:hAnsi="Arial"/>
        </w:rPr>
        <w:t xml:space="preserve"/>
      </w:r>
    </w:p>
    <w:p>
      <w:pPr>
        <w:spacing w:after="140" w:before="60"/>
      </w:pPr>
      <w:r>
        <w:rPr>
          <w:rFonts w:ascii="Arial" w:cs="Arial" w:eastAsia="Arial" w:hAnsi="Arial"/>
          <w:color w:val="1A1A1A"/>
          <w:sz w:val="20"/>
          <w:szCs w:val="20"/>
        </w:rPr>
        <w:t xml:space="preserve">The Lumpy Skin Disease (LSD) field is particularly noteworthy: it records LSD vaccination status at a time when LSD was actively spreading across South Asia. Comparing imagery of vaccinated vs. unvaccinated cattle opens a unique disease-marker-from-image research direction not present in any other published dataset.</w:t>
      </w:r>
    </w:p>
    <w:p>
      <w:pPr>
        <w:pStyle w:val="Heading2"/>
        <w:spacing w:after="120" w:before="280"/>
      </w:pPr>
      <w:r>
        <w:rPr>
          <w:rFonts w:ascii="Arial" w:cs="Arial" w:eastAsia="Arial" w:hAnsi="Arial"/>
          <w:b/>
          <w:bCs/>
          <w:color w:val="2E7D52"/>
          <w:sz w:val="26"/>
          <w:szCs w:val="26"/>
        </w:rPr>
        <w:t xml:space="preserve">5.2  Feedlot Duration as a Body-Composition Confound</w:t>
      </w:r>
    </w:p>
    <w:p>
      <w:pPr>
        <w:spacing w:after="140" w:before="60"/>
      </w:pPr>
      <w:r>
        <w:rPr>
          <w:rFonts w:ascii="Arial" w:cs="Arial" w:eastAsia="Arial" w:hAnsi="Arial"/>
          <w:color w:val="1A1A1A"/>
          <w:sz w:val="20"/>
          <w:szCs w:val="20"/>
        </w:rPr>
        <w:t xml:space="preserve">Feedlot duration (time in months of managed intensive feeding prior to sale) ranges from 3 months to 3 years, with four major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2280"/>
        <w:gridCol w:w="3240"/>
      </w:tblGrid>
      <w:tr>
        <w:tc>
          <w:tcPr>
            <w:tcW w:type="dxa" w:w="240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Feedlot Duration</w:t>
            </w:r>
          </w:p>
        </w:tc>
        <w:tc>
          <w:tcPr>
            <w:tcW w:type="dxa" w:w="144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w:t>
            </w:r>
          </w:p>
        </w:tc>
        <w:tc>
          <w:tcPr>
            <w:tcW w:type="dxa" w:w="228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Wt. Mean (kg)</w:t>
            </w:r>
          </w:p>
        </w:tc>
        <w:tc>
          <w:tcPr>
            <w:tcW w:type="dxa" w:w="324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Research Value</w:t>
            </w:r>
          </w:p>
        </w:tc>
      </w:tr>
      <w:tr>
        <w:tc>
          <w:tcPr>
            <w:tcW w:type="dxa" w:w="24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 Months</w:t>
            </w:r>
          </w:p>
        </w:tc>
        <w:tc>
          <w:tcPr>
            <w:tcW w:type="dxa" w:w="144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1,234</w:t>
            </w:r>
          </w:p>
        </w:tc>
        <w:tc>
          <w:tcPr>
            <w:tcW w:type="dxa" w:w="228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244.9</w:t>
            </w:r>
          </w:p>
        </w:tc>
        <w:tc>
          <w:tcPr>
            <w:tcW w:type="dxa" w:w="324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Baseline body composition</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4 Months</w:t>
            </w:r>
          </w:p>
        </w:tc>
        <w:tc>
          <w:tcPr>
            <w:tcW w:type="dxa" w:w="1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88</w:t>
            </w:r>
          </w:p>
        </w:tc>
        <w:tc>
          <w:tcPr>
            <w:tcW w:type="dxa" w:w="2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372.4</w:t>
            </w:r>
          </w:p>
        </w:tc>
        <w:tc>
          <w:tcPr>
            <w:tcW w:type="dxa" w:w="32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Moderate conditioning effect</w:t>
            </w:r>
          </w:p>
        </w:tc>
      </w:tr>
      <w:tr>
        <w:tc>
          <w:tcPr>
            <w:tcW w:type="dxa" w:w="24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12 Months</w:t>
            </w:r>
          </w:p>
        </w:tc>
        <w:tc>
          <w:tcPr>
            <w:tcW w:type="dxa" w:w="144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421</w:t>
            </w:r>
          </w:p>
        </w:tc>
        <w:tc>
          <w:tcPr>
            <w:tcW w:type="dxa" w:w="228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276.4</w:t>
            </w:r>
          </w:p>
        </w:tc>
        <w:tc>
          <w:tcPr>
            <w:tcW w:type="dxa" w:w="324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Long-duration grain feeding</w:t>
            </w:r>
          </w:p>
        </w:tc>
      </w:tr>
      <w:tr>
        <w:tc>
          <w:tcPr>
            <w:tcW w:type="dxa" w:w="2400"/>
            <w:tcBorders>
              <w:top w:val="single" w:color="2E7D52" w:sz="3"/>
              <w:left w:val="single" w:color="2E7D52" w:sz="3"/>
              <w:bottom w:val="single" w:color="2E7D52" w:sz="3"/>
              <w:right w:val="single" w:color="2E7D52" w:sz="3"/>
            </w:tcBorders>
            <w:shd w:fill="D6EAD8" w:val="clear"/>
            <w:tcMar>
              <w:top w:type="dxa" w:w="80"/>
              <w:left w:type="dxa" w:w="120"/>
              <w:bottom w:type="dxa" w:w="80"/>
              <w:right w:type="dxa" w:w="120"/>
            </w:tcMar>
            <w:vAlign w:val="center"/>
          </w:tcPr>
          <w:p>
            <w:pPr>
              <w:jc w:val="left"/>
            </w:pPr>
            <w:r>
              <w:rPr>
                <w:rFonts w:ascii="Arial" w:cs="Arial" w:eastAsia="Arial" w:hAnsi="Arial"/>
                <w:b/>
                <w:bCs/>
                <w:color w:val="2E7D52"/>
                <w:sz w:val="18"/>
                <w:szCs w:val="18"/>
              </w:rPr>
              <w:t xml:space="preserve">24 Months</w:t>
            </w:r>
          </w:p>
        </w:tc>
        <w:tc>
          <w:tcPr>
            <w:tcW w:type="dxa" w:w="1440"/>
            <w:tcBorders>
              <w:top w:val="single" w:color="2E7D52" w:sz="3"/>
              <w:left w:val="single" w:color="2E7D52" w:sz="3"/>
              <w:bottom w:val="single" w:color="2E7D52" w:sz="3"/>
              <w:right w:val="single" w:color="2E7D52" w:sz="3"/>
            </w:tcBorders>
            <w:shd w:fill="D6EAD8" w:val="clear"/>
            <w:tcMar>
              <w:top w:type="dxa" w:w="80"/>
              <w:left w:type="dxa" w:w="120"/>
              <w:bottom w:type="dxa" w:w="80"/>
              <w:right w:type="dxa" w:w="120"/>
            </w:tcMar>
            <w:vAlign w:val="center"/>
          </w:tcPr>
          <w:p>
            <w:pPr>
              <w:jc w:val="center"/>
            </w:pPr>
            <w:r>
              <w:rPr>
                <w:rFonts w:ascii="Arial" w:cs="Arial" w:eastAsia="Arial" w:hAnsi="Arial"/>
                <w:b/>
                <w:bCs/>
                <w:color w:val="2E7D52"/>
                <w:sz w:val="18"/>
                <w:szCs w:val="18"/>
              </w:rPr>
              <w:t xml:space="preserve">12</w:t>
            </w:r>
          </w:p>
        </w:tc>
        <w:tc>
          <w:tcPr>
            <w:tcW w:type="dxa" w:w="2280"/>
            <w:tcBorders>
              <w:top w:val="single" w:color="2E7D52" w:sz="3"/>
              <w:left w:val="single" w:color="2E7D52" w:sz="3"/>
              <w:bottom w:val="single" w:color="2E7D52" w:sz="3"/>
              <w:right w:val="single" w:color="2E7D52" w:sz="3"/>
            </w:tcBorders>
            <w:shd w:fill="D6EAD8" w:val="clear"/>
            <w:tcMar>
              <w:top w:type="dxa" w:w="80"/>
              <w:left w:type="dxa" w:w="120"/>
              <w:bottom w:type="dxa" w:w="80"/>
              <w:right w:type="dxa" w:w="120"/>
            </w:tcMar>
            <w:vAlign w:val="center"/>
          </w:tcPr>
          <w:p>
            <w:pPr>
              <w:jc w:val="center"/>
            </w:pPr>
            <w:r>
              <w:rPr>
                <w:rFonts w:ascii="Arial" w:cs="Arial" w:eastAsia="Arial" w:hAnsi="Arial"/>
                <w:b/>
                <w:bCs/>
                <w:color w:val="2E7D52"/>
                <w:sz w:val="18"/>
                <w:szCs w:val="18"/>
              </w:rPr>
              <w:t xml:space="preserve">685.4</w:t>
            </w:r>
          </w:p>
        </w:tc>
        <w:tc>
          <w:tcPr>
            <w:tcW w:type="dxa" w:w="3240"/>
            <w:tcBorders>
              <w:top w:val="single" w:color="2E7D52" w:sz="3"/>
              <w:left w:val="single" w:color="2E7D52" w:sz="3"/>
              <w:bottom w:val="single" w:color="2E7D52" w:sz="3"/>
              <w:right w:val="single" w:color="2E7D52" w:sz="3"/>
            </w:tcBorders>
            <w:shd w:fill="D6EAD8" w:val="clear"/>
            <w:tcMar>
              <w:top w:type="dxa" w:w="80"/>
              <w:left w:type="dxa" w:w="120"/>
              <w:bottom w:type="dxa" w:w="80"/>
              <w:right w:type="dxa" w:w="120"/>
            </w:tcMar>
            <w:vAlign w:val="center"/>
          </w:tcPr>
          <w:p>
            <w:pPr>
              <w:jc w:val="center"/>
            </w:pPr>
            <w:r>
              <w:rPr>
                <w:rFonts w:ascii="Arial" w:cs="Arial" w:eastAsia="Arial" w:hAnsi="Arial"/>
                <w:b/>
                <w:bCs/>
                <w:color w:val="2E7D52"/>
                <w:sz w:val="18"/>
                <w:szCs w:val="18"/>
              </w:rPr>
              <w:t xml:space="preserve">Premium heavy cattle segment</w:t>
            </w:r>
          </w:p>
        </w:tc>
      </w:tr>
    </w:tbl>
    <w:p>
      <w:pPr>
        <w:spacing w:after="60" w:before="60"/>
      </w:pPr>
      <w:r>
        <w:rPr>
          <w:rFonts w:ascii="Arial" w:cs="Arial" w:eastAsia="Arial" w:hAnsi="Arial"/>
        </w:rPr>
        <w:t xml:space="preserve"/>
      </w:r>
    </w:p>
    <w:p>
      <w:pPr>
        <w:spacing w:after="140" w:before="60"/>
      </w:pPr>
      <w:r>
        <w:rPr>
          <w:rFonts w:ascii="Arial" w:cs="Arial" w:eastAsia="Arial" w:hAnsi="Arial"/>
          <w:color w:val="1A1A1A"/>
          <w:sz w:val="20"/>
          <w:szCs w:val="20"/>
        </w:rPr>
        <w:t xml:space="preserve">This variation lets researchers study how visible phenotype (muscle mass, fat distribution) changes as a function of managed feeding duration — an important proxy for body condition scoring (BCS) that is otherwise measured by hand palpation.</w:t>
      </w:r>
    </w:p>
    <w:p>
      <w:pPr>
        <w:pStyle w:val="Heading1"/>
        <w:pBdr>
          <w:bottom w:val="single" w:color="2E7D52" w:sz="6" w:space="6"/>
        </w:pBdr>
        <w:spacing w:after="160" w:before="360"/>
      </w:pPr>
      <w:r>
        <w:rPr>
          <w:rFonts w:ascii="Arial" w:cs="Arial" w:eastAsia="Arial" w:hAnsi="Arial"/>
          <w:b/>
          <w:bCs/>
          <w:color w:val="1A5C38"/>
          <w:sz w:val="32"/>
          <w:szCs w:val="32"/>
        </w:rPr>
        <w:t xml:space="preserve">6.  Economic Labels: Price, Market Status, and Commercial Context</w:t>
      </w:r>
    </w:p>
    <w:p>
      <w:pPr>
        <w:pStyle w:val="Heading2"/>
        <w:spacing w:after="120" w:before="280"/>
      </w:pPr>
      <w:r>
        <w:rPr>
          <w:rFonts w:ascii="Arial" w:cs="Arial" w:eastAsia="Arial" w:hAnsi="Arial"/>
          <w:b/>
          <w:bCs/>
          <w:color w:val="2E7D52"/>
          <w:sz w:val="26"/>
          <w:szCs w:val="26"/>
        </w:rPr>
        <w:t xml:space="preserve">6.1  Price as a High-Fidelity Auxiliary Label</w:t>
      </w:r>
    </w:p>
    <w:p>
      <w:pPr>
        <w:spacing w:after="140" w:before="60"/>
      </w:pPr>
      <w:r>
        <w:rPr>
          <w:rFonts w:ascii="Arial" w:cs="Arial" w:eastAsia="Arial" w:hAnsi="Arial"/>
          <w:color w:val="1A1A1A"/>
          <w:sz w:val="20"/>
          <w:szCs w:val="20"/>
        </w:rPr>
        <w:t xml:space="preserve">The price field (in BDT) shows an exceptionally strong correlation with weight (</w:t>
      </w:r>
      <w:r>
        <w:rPr>
          <w:rFonts w:ascii="Arial" w:cs="Arial" w:eastAsia="Arial" w:hAnsi="Arial"/>
          <w:b/>
          <w:bCs/>
          <w:color w:val="1A1A1A"/>
          <w:sz w:val="22"/>
          <w:szCs w:val="22"/>
        </w:rPr>
        <w:t xml:space="preserve">r = 0.895</w:t>
      </w:r>
      <w:r>
        <w:rPr>
          <w:rFonts w:ascii="Arial" w:cs="Arial" w:eastAsia="Arial" w:hAnsi="Arial"/>
          <w:color w:val="1A1A1A"/>
          <w:sz w:val="20"/>
          <w:szCs w:val="20"/>
        </w:rPr>
        <w:t xml:space="preserve">), making it an unusually reliable auxiliary label. In contexts where direct weight measurement is unavailable, price provides a robust proxy. More importantly, the </w:t>
      </w:r>
      <w:r>
        <w:rPr>
          <w:rFonts w:ascii="Arial" w:cs="Arial" w:eastAsia="Arial" w:hAnsi="Arial"/>
          <w:i/>
          <w:iCs/>
          <w:color w:val="555555"/>
          <w:sz w:val="20"/>
          <w:szCs w:val="20"/>
        </w:rPr>
        <w:t xml:space="preserve">residual</w:t>
      </w:r>
      <w:r>
        <w:rPr>
          <w:rFonts w:ascii="Arial" w:cs="Arial" w:eastAsia="Arial" w:hAnsi="Arial"/>
          <w:color w:val="1A1A1A"/>
          <w:sz w:val="20"/>
          <w:szCs w:val="20"/>
        </w:rPr>
        <w:t xml:space="preserve"> of price after controlling for weight encodes breed premium, health certification premium, and seasonal market dynamics — a multi-factor signal that no existing livestock-CV dataset provides.</w:t>
      </w:r>
    </w:p>
    <w:p>
      <w:pPr>
        <w:pStyle w:val="Heading2"/>
        <w:spacing w:after="120" w:before="280"/>
      </w:pPr>
      <w:r>
        <w:rPr>
          <w:rFonts w:ascii="Arial" w:cs="Arial" w:eastAsia="Arial" w:hAnsi="Arial"/>
          <w:b/>
          <w:bCs/>
          <w:color w:val="2E7D52"/>
          <w:sz w:val="26"/>
          <w:szCs w:val="26"/>
        </w:rPr>
        <w:t xml:space="preserve">6.2  Price-per-kilogram as a Market Efficiency Index</w:t>
      </w:r>
    </w:p>
    <w:p>
      <w:pPr>
        <w:spacing w:after="140" w:before="60"/>
      </w:pPr>
      <w:r>
        <w:rPr>
          <w:rFonts w:ascii="Arial" w:cs="Arial" w:eastAsia="Arial" w:hAnsi="Arial"/>
          <w:color w:val="1A1A1A"/>
          <w:sz w:val="20"/>
          <w:szCs w:val="20"/>
        </w:rPr>
        <w:t xml:space="preserve">Price-per-kg (BDT/kg) reveals clear market inflation across the dataset's 4-year window (2021–2024):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980"/>
        <w:gridCol w:w="3780"/>
      </w:tblGrid>
      <w:tr>
        <w:tc>
          <w:tcPr>
            <w:tcW w:type="dxa" w:w="180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Year</w:t>
            </w:r>
          </w:p>
        </w:tc>
        <w:tc>
          <w:tcPr>
            <w:tcW w:type="dxa" w:w="180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Mean Price/kg</w:t>
            </w:r>
          </w:p>
        </w:tc>
        <w:tc>
          <w:tcPr>
            <w:tcW w:type="dxa" w:w="198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YoY Change</w:t>
            </w:r>
          </w:p>
        </w:tc>
        <w:tc>
          <w:tcPr>
            <w:tcW w:type="dxa" w:w="378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Interpretation</w:t>
            </w:r>
          </w:p>
        </w:tc>
      </w:tr>
      <w:tr>
        <w:tc>
          <w:tcPr>
            <w:tcW w:type="dxa" w:w="18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2021</w:t>
            </w:r>
          </w:p>
        </w:tc>
        <w:tc>
          <w:tcPr>
            <w:tcW w:type="dxa" w:w="18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421 BDT</w:t>
            </w:r>
          </w:p>
        </w:tc>
        <w:tc>
          <w:tcPr>
            <w:tcW w:type="dxa" w:w="198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Baseline</w:t>
            </w:r>
          </w:p>
        </w:tc>
        <w:tc>
          <w:tcPr>
            <w:tcW w:type="dxa" w:w="378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Pre-inflation baseline</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2022</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549 BDT</w:t>
            </w:r>
          </w:p>
        </w:tc>
        <w:tc>
          <w:tcPr>
            <w:tcW w:type="dxa" w:w="19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+30%</w:t>
            </w:r>
          </w:p>
        </w:tc>
        <w:tc>
          <w:tcPr>
            <w:tcW w:type="dxa" w:w="37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Post-COVID demand surge</w:t>
            </w:r>
          </w:p>
        </w:tc>
      </w:tr>
      <w:tr>
        <w:tc>
          <w:tcPr>
            <w:tcW w:type="dxa" w:w="18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2023</w:t>
            </w:r>
          </w:p>
        </w:tc>
        <w:tc>
          <w:tcPr>
            <w:tcW w:type="dxa" w:w="18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630 BDT</w:t>
            </w:r>
          </w:p>
        </w:tc>
        <w:tc>
          <w:tcPr>
            <w:tcW w:type="dxa" w:w="198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+15%</w:t>
            </w:r>
          </w:p>
        </w:tc>
        <w:tc>
          <w:tcPr>
            <w:tcW w:type="dxa" w:w="378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Continued inflationary pressure</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2024</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629 BDT</w:t>
            </w:r>
          </w:p>
        </w:tc>
        <w:tc>
          <w:tcPr>
            <w:tcW w:type="dxa" w:w="19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0% (stable)</w:t>
            </w:r>
          </w:p>
        </w:tc>
        <w:tc>
          <w:tcPr>
            <w:tcW w:type="dxa" w:w="37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Market stabilisation with lighter animals</w:t>
            </w:r>
          </w:p>
        </w:tc>
      </w:tr>
    </w:tbl>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2E7D52"/>
          <w:sz w:val="26"/>
          <w:szCs w:val="26"/>
        </w:rPr>
        <w:t xml:space="preserve">6.3  Commercial Sale Status as an Outcome Variable</w:t>
      </w:r>
    </w:p>
    <w:p>
      <w:pPr>
        <w:spacing w:after="140" w:before="60"/>
      </w:pPr>
      <w:r>
        <w:rPr>
          <w:rFonts w:ascii="Arial" w:cs="Arial" w:eastAsia="Arial" w:hAnsi="Arial"/>
          <w:color w:val="1A1A1A"/>
          <w:sz w:val="20"/>
          <w:szCs w:val="20"/>
        </w:rPr>
        <w:t xml:space="preserve">The status field (AVAILABLE, ORDERED, SHARED_ORDERED, SHARED, PARKED, HIDDEN) records the real commercial fate of each animal. This is a direct demand-side label — something no academic cattle dataset contains. It enables conversion-rate prediction from visual features: given an image and metadata, can a model predict whether a cattle will sell?</w:t>
      </w:r>
    </w:p>
    <w:p>
      <w:r>
        <w:br w:type="page"/>
      </w:r>
    </w:p>
    <w:p>
      <w:pPr>
        <w:pStyle w:val="Heading1"/>
        <w:pBdr>
          <w:bottom w:val="single" w:color="2E7D52" w:sz="6" w:space="6"/>
        </w:pBdr>
        <w:spacing w:after="160" w:before="360"/>
      </w:pPr>
      <w:r>
        <w:rPr>
          <w:rFonts w:ascii="Arial" w:cs="Arial" w:eastAsia="Arial" w:hAnsi="Arial"/>
          <w:b/>
          <w:bCs/>
          <w:color w:val="1A5C38"/>
          <w:sz w:val="32"/>
          <w:szCs w:val="32"/>
        </w:rPr>
        <w:t xml:space="preserve">7.  YouTube Video: The Monocular RGB-Video Differentiator</w:t>
      </w:r>
    </w:p>
    <w:p>
      <w:pPr>
        <w:pStyle w:val="Heading2"/>
        <w:spacing w:after="120" w:before="280"/>
      </w:pPr>
      <w:r>
        <w:rPr>
          <w:rFonts w:ascii="Arial" w:cs="Arial" w:eastAsia="Arial" w:hAnsi="Arial"/>
          <w:b/>
          <w:bCs/>
          <w:color w:val="2E7D52"/>
          <w:sz w:val="26"/>
          <w:szCs w:val="26"/>
        </w:rPr>
        <w:t xml:space="preserve">7.1  Why Video Changes the Research Landscape</w:t>
      </w:r>
    </w:p>
    <w:p>
      <w:pPr>
        <w:spacing w:after="140" w:before="60"/>
      </w:pPr>
      <w:r>
        <w:rPr>
          <w:rFonts w:ascii="Arial" w:cs="Arial" w:eastAsia="Arial" w:hAnsi="Arial"/>
          <w:color w:val="1A1A1A"/>
          <w:sz w:val="20"/>
          <w:szCs w:val="20"/>
        </w:rPr>
        <w:t xml:space="preserve">Of the 1,928 cattle, 1,895 (98.3%) have an associated YouTube video of the animal. These are filmed by the farmer or commercial agent in uncontrolled in-the-wild conditions — typical mobile-phone footage with natural lighting, variable backgrounds, and non-standardised camera movement. This is precisely the condition that deployed models will face in the field, yet it is absent from every published cattle benchmark.</w:t>
      </w:r>
    </w:p>
    <w:p>
      <w:pPr>
        <w:spacing w:after="140" w:before="60"/>
      </w:pPr>
      <w:r>
        <w:rPr>
          <w:rFonts w:ascii="Arial" w:cs="Arial" w:eastAsia="Arial" w:hAnsi="Arial"/>
          <w:color w:val="1A1A1A"/>
          <w:sz w:val="20"/>
          <w:szCs w:val="20"/>
        </w:rPr>
        <w:t xml:space="preserve">The research enabled by the video component includes:</w:t>
      </w:r>
    </w:p>
    <w:p>
      <w:pPr>
        <w:pStyle w:val="ListParagraph"/>
        <w:numPr>
          <w:ilvl w:val="0"/>
          <w:numId w:val="2"/>
        </w:numPr>
        <w:spacing w:after="40" w:before="40"/>
      </w:pPr>
      <w:r>
        <w:rPr>
          <w:rFonts w:ascii="Arial" w:cs="Arial" w:eastAsia="Arial" w:hAnsi="Arial"/>
          <w:color w:val="1A1A1A"/>
          <w:sz w:val="20"/>
          <w:szCs w:val="20"/>
        </w:rPr>
        <w:t xml:space="preserve">Video-based body weight estimation without depth cameras (monocular constraint)</w:t>
      </w:r>
    </w:p>
    <w:p>
      <w:pPr>
        <w:pStyle w:val="ListParagraph"/>
        <w:numPr>
          <w:ilvl w:val="0"/>
          <w:numId w:val="2"/>
        </w:numPr>
        <w:spacing w:after="40" w:before="40"/>
      </w:pPr>
      <w:r>
        <w:rPr>
          <w:rFonts w:ascii="Arial" w:cs="Arial" w:eastAsia="Arial" w:hAnsi="Arial"/>
          <w:color w:val="1A1A1A"/>
          <w:sz w:val="20"/>
          <w:szCs w:val="20"/>
        </w:rPr>
        <w:t xml:space="preserve">Temporal pose aggregation: fusing information across multiple frames to achieve multi-view coverage from a single video</w:t>
      </w:r>
    </w:p>
    <w:p>
      <w:pPr>
        <w:pStyle w:val="ListParagraph"/>
        <w:numPr>
          <w:ilvl w:val="0"/>
          <w:numId w:val="2"/>
        </w:numPr>
        <w:spacing w:after="40" w:before="40"/>
      </w:pPr>
      <w:r>
        <w:rPr>
          <w:rFonts w:ascii="Arial" w:cs="Arial" w:eastAsia="Arial" w:hAnsi="Arial"/>
          <w:color w:val="1A1A1A"/>
          <w:sz w:val="20"/>
          <w:szCs w:val="20"/>
        </w:rPr>
        <w:t xml:space="preserve">In-the-wild domain adaptation: using frames extracted from the video as augmentation for still-image models</w:t>
      </w:r>
    </w:p>
    <w:p>
      <w:pPr>
        <w:pStyle w:val="ListParagraph"/>
        <w:numPr>
          <w:ilvl w:val="0"/>
          <w:numId w:val="2"/>
        </w:numPr>
        <w:spacing w:after="40" w:before="40"/>
      </w:pPr>
      <w:r>
        <w:rPr>
          <w:rFonts w:ascii="Arial" w:cs="Arial" w:eastAsia="Arial" w:hAnsi="Arial"/>
          <w:color w:val="1A1A1A"/>
          <w:sz w:val="20"/>
          <w:szCs w:val="20"/>
        </w:rPr>
        <w:t xml:space="preserve">Self-supervised pre-training: using the unlabelled video frames (~100–300 frames/video) to pre-train spatiotemporal representations before fine-tuning on the labelled metadata</w:t>
      </w:r>
    </w:p>
    <w:p>
      <w:pPr>
        <w:pStyle w:val="ListParagraph"/>
        <w:numPr>
          <w:ilvl w:val="0"/>
          <w:numId w:val="2"/>
        </w:numPr>
        <w:spacing w:after="40" w:before="40"/>
      </w:pPr>
      <w:r>
        <w:rPr>
          <w:rFonts w:ascii="Arial" w:cs="Arial" w:eastAsia="Arial" w:hAnsi="Arial"/>
          <w:color w:val="1A1A1A"/>
          <w:sz w:val="20"/>
          <w:szCs w:val="20"/>
        </w:rPr>
        <w:t xml:space="preserve">Optical flow-based gait analysis: linking gait pattern to body condition score</w:t>
      </w:r>
    </w:p>
    <w:p>
      <w:pPr>
        <w:pStyle w:val="ListParagraph"/>
        <w:numPr>
          <w:ilvl w:val="0"/>
          <w:numId w:val="2"/>
        </w:numPr>
        <w:spacing w:after="40" w:before="40"/>
      </w:pPr>
      <w:r>
        <w:rPr>
          <w:rFonts w:ascii="Arial" w:cs="Arial" w:eastAsia="Arial" w:hAnsi="Arial"/>
          <w:color w:val="1A1A1A"/>
          <w:sz w:val="20"/>
          <w:szCs w:val="20"/>
        </w:rPr>
        <w:t xml:space="preserve">VideoMAE or Video DINOv2 adaptation to the livestock domain</w:t>
      </w:r>
    </w:p>
    <w:p>
      <w:pPr>
        <w:pStyle w:val="Heading2"/>
        <w:spacing w:after="120" w:before="280"/>
      </w:pPr>
      <w:r>
        <w:rPr>
          <w:rFonts w:ascii="Arial" w:cs="Arial" w:eastAsia="Arial" w:hAnsi="Arial"/>
          <w:b/>
          <w:bCs/>
          <w:color w:val="2E7D52"/>
          <w:sz w:val="26"/>
          <w:szCs w:val="26"/>
        </w:rPr>
        <w:t xml:space="preserve">7.2  Video as a Source of Pseudo-Multi-View Data</w:t>
      </w:r>
    </w:p>
    <w:p>
      <w:pPr>
        <w:spacing w:after="140" w:before="60"/>
      </w:pPr>
      <w:r>
        <w:rPr>
          <w:rFonts w:ascii="Arial" w:cs="Arial" w:eastAsia="Arial" w:hAnsi="Arial"/>
          <w:color w:val="1A1A1A"/>
          <w:sz w:val="20"/>
          <w:szCs w:val="20"/>
        </w:rPr>
        <w:t xml:space="preserve">A monocular walking video of a cow naturally samples the animal from multiple viewpoints over time. Combined with the 4 static multi-view images, </w:t>
      </w:r>
      <w:r>
        <w:rPr>
          <w:rFonts w:ascii="Arial" w:cs="Arial" w:eastAsia="Arial" w:hAnsi="Arial"/>
          <w:b/>
          <w:bCs/>
          <w:color w:val="1A1A1A"/>
          <w:sz w:val="22"/>
          <w:szCs w:val="22"/>
        </w:rPr>
        <w:t xml:space="preserve">each animal has both structured multi-view coverage and temporally-rich unstructured video</w:t>
      </w:r>
      <w:r>
        <w:rPr>
          <w:rFonts w:ascii="Arial" w:cs="Arial" w:eastAsia="Arial" w:hAnsi="Arial"/>
          <w:color w:val="1A1A1A"/>
          <w:sz w:val="20"/>
          <w:szCs w:val="20"/>
        </w:rPr>
        <w:t xml:space="preserve">. This pairing is unique in the livestock-CV literature and enables cross-modal self-supervised learning experiments.</w:t>
      </w:r>
    </w:p>
    <w:p>
      <w:pPr>
        <w:pStyle w:val="Heading1"/>
        <w:pBdr>
          <w:bottom w:val="single" w:color="2E7D52" w:sz="6" w:space="6"/>
        </w:pBdr>
        <w:spacing w:after="160" w:before="360"/>
      </w:pPr>
      <w:r>
        <w:rPr>
          <w:rFonts w:ascii="Arial" w:cs="Arial" w:eastAsia="Arial" w:hAnsi="Arial"/>
          <w:b/>
          <w:bCs/>
          <w:color w:val="1A5C38"/>
          <w:sz w:val="32"/>
          <w:szCs w:val="32"/>
        </w:rPr>
        <w:t xml:space="preserve">8.  Regional and Geopolitical Uniqueness</w:t>
      </w:r>
    </w:p>
    <w:p>
      <w:pPr>
        <w:pStyle w:val="Heading2"/>
        <w:spacing w:after="120" w:before="280"/>
      </w:pPr>
      <w:r>
        <w:rPr>
          <w:rFonts w:ascii="Arial" w:cs="Arial" w:eastAsia="Arial" w:hAnsi="Arial"/>
          <w:b/>
          <w:bCs/>
          <w:color w:val="2E7D52"/>
          <w:sz w:val="26"/>
          <w:szCs w:val="26"/>
        </w:rPr>
        <w:t xml:space="preserve">8.1  The Bangladeshi Qurbani Market: An Unstudied Domain</w:t>
      </w:r>
    </w:p>
    <w:p>
      <w:pPr>
        <w:spacing w:after="140" w:before="60"/>
      </w:pPr>
      <w:r>
        <w:rPr>
          <w:rFonts w:ascii="Arial" w:cs="Arial" w:eastAsia="Arial" w:hAnsi="Arial"/>
          <w:color w:val="1A1A1A"/>
          <w:sz w:val="20"/>
          <w:szCs w:val="20"/>
        </w:rPr>
        <w:t xml:space="preserve">The entire dataset comes from a single commercial Qurbani cattle marketplace in Bangladesh. The Qurbani (Eid ul-Adha) cattle market is one of the largest annual livestock trading events in South Asia, involving millions of animals and billions of USD in transactions annually. Despite this scale, no peer-reviewed machine-learning dataset has been published from this context.</w:t>
      </w:r>
    </w:p>
    <w:p>
      <w:pPr>
        <w:spacing w:after="140" w:before="60"/>
      </w:pPr>
      <w:r>
        <w:rPr>
          <w:rFonts w:ascii="Arial" w:cs="Arial" w:eastAsia="Arial" w:hAnsi="Arial"/>
          <w:color w:val="1A1A1A"/>
          <w:sz w:val="20"/>
          <w:szCs w:val="20"/>
        </w:rPr>
        <w:t xml:space="preserve">This uniqueness has two implications for publication:</w:t>
      </w:r>
    </w:p>
    <w:p>
      <w:pPr>
        <w:pStyle w:val="ListParagraph"/>
        <w:numPr>
          <w:ilvl w:val="0"/>
          <w:numId w:val="2"/>
        </w:numPr>
        <w:spacing w:after="40" w:before="40"/>
      </w:pPr>
      <w:r>
        <w:rPr>
          <w:rFonts w:ascii="Arial" w:cs="Arial" w:eastAsia="Arial" w:hAnsi="Arial"/>
          <w:color w:val="1A1A1A"/>
          <w:sz w:val="20"/>
          <w:szCs w:val="20"/>
        </w:rPr>
        <w:t xml:space="preserve">The dataset paper itself is a guaranteed contribution to the domain — there is no competition</w:t>
      </w:r>
    </w:p>
    <w:p>
      <w:pPr>
        <w:pStyle w:val="ListParagraph"/>
        <w:numPr>
          <w:ilvl w:val="0"/>
          <w:numId w:val="2"/>
        </w:numPr>
        <w:spacing w:after="40" w:before="40"/>
      </w:pPr>
      <w:r>
        <w:rPr>
          <w:rFonts w:ascii="Arial" w:cs="Arial" w:eastAsia="Arial" w:hAnsi="Arial"/>
          <w:color w:val="1A1A1A"/>
          <w:sz w:val="20"/>
          <w:szCs w:val="20"/>
        </w:rPr>
        <w:t xml:space="preserve">Any model achieving good performance on Bangladeshi LOCAL and RED_CHITTAGONG breeds is immediately commercially deployable in a market of 170 million people — a compelling impact statement for top-tier venues</w:t>
      </w:r>
    </w:p>
    <w:p>
      <w:pPr>
        <w:pStyle w:val="Heading2"/>
        <w:spacing w:after="120" w:before="280"/>
      </w:pPr>
      <w:r>
        <w:rPr>
          <w:rFonts w:ascii="Arial" w:cs="Arial" w:eastAsia="Arial" w:hAnsi="Arial"/>
          <w:b/>
          <w:bCs/>
          <w:color w:val="2E7D52"/>
          <w:sz w:val="26"/>
          <w:szCs w:val="26"/>
        </w:rPr>
        <w:t xml:space="preserve">8.2  South Asian Breed Gap in the Global Literature</w:t>
      </w:r>
    </w:p>
    <w:p>
      <w:pPr>
        <w:spacing w:after="140" w:before="60"/>
      </w:pPr>
      <w:r>
        <w:rPr>
          <w:rFonts w:ascii="Arial" w:cs="Arial" w:eastAsia="Arial" w:hAnsi="Arial"/>
          <w:color w:val="1A1A1A"/>
          <w:sz w:val="20"/>
          <w:szCs w:val="20"/>
        </w:rPr>
        <w:t xml:space="preserve">Virtually all published cattle-CV papers use European dairy breeds (Holstein, Friesian) or North American beef breeds (Angus, Hereford). South Asian breeds — SAHIWAL, SINDHI, RED_CHITTAGONG, PABNA_BREED, LOCAL (Desi) — are morphologically distinct, have different body proportions, and are </w:t>
      </w:r>
      <w:r>
        <w:rPr>
          <w:rFonts w:ascii="Arial" w:cs="Arial" w:eastAsia="Arial" w:hAnsi="Arial"/>
          <w:b/>
          <w:bCs/>
          <w:color w:val="1A1A1A"/>
          <w:sz w:val="22"/>
          <w:szCs w:val="22"/>
        </w:rPr>
        <w:t xml:space="preserve">entirely absent from existing benchmarks</w:t>
      </w:r>
      <w:r>
        <w:rPr>
          <w:rFonts w:ascii="Arial" w:cs="Arial" w:eastAsia="Arial" w:hAnsi="Arial"/>
          <w:color w:val="1A1A1A"/>
          <w:sz w:val="20"/>
          <w:szCs w:val="20"/>
        </w:rPr>
        <w:t xml:space="preserve">. Any model trained on European datasets will generalise poorly to these breeds, which is both a limitation in the current literature and a clear gap that BengalCattle-5Y fills.</w:t>
      </w:r>
    </w:p>
    <w:p>
      <w:pPr>
        <w:pStyle w:val="Heading1"/>
        <w:pBdr>
          <w:bottom w:val="single" w:color="2E7D52" w:sz="6" w:space="6"/>
        </w:pBdr>
        <w:spacing w:after="160" w:before="360"/>
      </w:pPr>
      <w:r>
        <w:rPr>
          <w:rFonts w:ascii="Arial" w:cs="Arial" w:eastAsia="Arial" w:hAnsi="Arial"/>
          <w:b/>
          <w:bCs/>
          <w:color w:val="1A5C38"/>
          <w:sz w:val="32"/>
          <w:szCs w:val="32"/>
        </w:rPr>
        <w:t xml:space="preserve">9.  File Structure and ML-Readiness</w:t>
      </w:r>
    </w:p>
    <w:p>
      <w:pPr>
        <w:pStyle w:val="Heading2"/>
        <w:spacing w:after="120" w:before="280"/>
      </w:pPr>
      <w:r>
        <w:rPr>
          <w:rFonts w:ascii="Arial" w:cs="Arial" w:eastAsia="Arial" w:hAnsi="Arial"/>
          <w:b/>
          <w:bCs/>
          <w:color w:val="2E7D52"/>
          <w:sz w:val="26"/>
          <w:szCs w:val="26"/>
        </w:rPr>
        <w:t xml:space="preserve">9.1  Per-Animal Folder Organisation</w:t>
      </w:r>
    </w:p>
    <w:p>
      <w:pPr>
        <w:spacing w:after="140" w:before="60"/>
      </w:pPr>
      <w:r>
        <w:rPr>
          <w:rFonts w:ascii="Arial" w:cs="Arial" w:eastAsia="Arial" w:hAnsi="Arial"/>
          <w:color w:val="1A1A1A"/>
          <w:sz w:val="20"/>
          <w:szCs w:val="20"/>
        </w:rPr>
        <w:t xml:space="preserve">All data is organised in a per-animal folder structure under year-partitioned directories. Each cow folder (e.g., data-2024/images/BLF4002/) contains exactly 4 images: BLF4002_0.jpg through BLF4002_3.jpg. The corresponding video is at data-2024/yt_videos/BLF4002/BLF4002.mp4, and the metadata pickle at data-2024/details/BLF 4002.pkl. This tri-modal alignment at the folder level makes dataloading straightforward without any joining logic.</w:t>
      </w:r>
    </w:p>
    <w:p>
      <w:pPr>
        <w:pStyle w:val="Heading2"/>
        <w:spacing w:after="120" w:before="280"/>
      </w:pPr>
      <w:r>
        <w:rPr>
          <w:rFonts w:ascii="Arial" w:cs="Arial" w:eastAsia="Arial" w:hAnsi="Arial"/>
          <w:b/>
          <w:bCs/>
          <w:color w:val="2E7D52"/>
          <w:sz w:val="26"/>
          <w:szCs w:val="26"/>
        </w:rPr>
        <w:t xml:space="preserve">9.2  Pickle Metadata Format</w:t>
      </w:r>
    </w:p>
    <w:p>
      <w:pPr>
        <w:spacing w:after="140" w:before="60"/>
      </w:pPr>
      <w:r>
        <w:rPr>
          <w:rFonts w:ascii="Arial" w:cs="Arial" w:eastAsia="Arial" w:hAnsi="Arial"/>
          <w:color w:val="1A1A1A"/>
          <w:sz w:val="20"/>
          <w:szCs w:val="20"/>
        </w:rPr>
        <w:t xml:space="preserve">Each .pkl file contains the full API response dict for that animal, preserving all 28 fields at the time of scraping. This makes it trivial to add new derived features (e.g., log-transformed weight, normalised height) without modifying the raw data. The pickles_to_df.csv per year directory provides a pre-merged flat DataFrame for rapid prototyping.</w:t>
      </w:r>
    </w:p>
    <w:p>
      <w:pPr>
        <w:pStyle w:val="Heading2"/>
        <w:spacing w:after="120" w:before="280"/>
      </w:pPr>
      <w:r>
        <w:rPr>
          <w:rFonts w:ascii="Arial" w:cs="Arial" w:eastAsia="Arial" w:hAnsi="Arial"/>
          <w:b/>
          <w:bCs/>
          <w:color w:val="2E7D52"/>
          <w:sz w:val="26"/>
          <w:szCs w:val="26"/>
        </w:rPr>
        <w:t xml:space="preserve">9.3  Canonical Split Recommendations</w:t>
      </w:r>
    </w:p>
    <w:p>
      <w:pPr>
        <w:spacing w:after="140" w:before="60"/>
      </w:pPr>
      <w:r>
        <w:rPr>
          <w:rFonts w:ascii="Arial" w:cs="Arial" w:eastAsia="Arial" w:hAnsi="Arial"/>
          <w:color w:val="1A1A1A"/>
          <w:sz w:val="20"/>
          <w:szCs w:val="20"/>
        </w:rPr>
        <w:t xml:space="preserve">Three split strategies are appropriate and should be reported together in any publication to ensure fair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c>
          <w:tcPr>
            <w:tcW w:type="dxa" w:w="216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Split Type</w:t>
            </w:r>
          </w:p>
        </w:tc>
        <w:tc>
          <w:tcPr>
            <w:tcW w:type="dxa" w:w="240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Train</w:t>
            </w:r>
          </w:p>
        </w:tc>
        <w:tc>
          <w:tcPr>
            <w:tcW w:type="dxa" w:w="240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Validation</w:t>
            </w:r>
          </w:p>
        </w:tc>
        <w:tc>
          <w:tcPr>
            <w:tcW w:type="dxa" w:w="240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w:t>
            </w:r>
          </w:p>
        </w:tc>
      </w:tr>
      <w:tr>
        <w:tc>
          <w:tcPr>
            <w:tcW w:type="dxa" w:w="21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Random (80/10/10)</w:t>
            </w:r>
          </w:p>
        </w:tc>
        <w:tc>
          <w:tcPr>
            <w:tcW w:type="dxa" w:w="24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1,542</w:t>
            </w:r>
          </w:p>
        </w:tc>
        <w:tc>
          <w:tcPr>
            <w:tcW w:type="dxa" w:w="24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193</w:t>
            </w:r>
          </w:p>
        </w:tc>
        <w:tc>
          <w:tcPr>
            <w:tcW w:type="dxa" w:w="24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193</w:t>
            </w:r>
          </w:p>
        </w:tc>
      </w:tr>
      <w:tr>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By SKU (no data leak)</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80% of SKUs</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10% of SKUs</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10% of SKUs</w:t>
            </w:r>
          </w:p>
        </w:tc>
      </w:tr>
      <w:tr>
        <w:tc>
          <w:tcPr>
            <w:tcW w:type="dxa" w:w="2160"/>
            <w:tcBorders>
              <w:top w:val="single" w:color="2E7D52" w:sz="3"/>
              <w:left w:val="single" w:color="2E7D52" w:sz="3"/>
              <w:bottom w:val="single" w:color="2E7D52" w:sz="3"/>
              <w:right w:val="single" w:color="2E7D52" w:sz="3"/>
            </w:tcBorders>
            <w:shd w:fill="D6EAD8" w:val="clear"/>
            <w:tcMar>
              <w:top w:type="dxa" w:w="80"/>
              <w:left w:type="dxa" w:w="120"/>
              <w:bottom w:type="dxa" w:w="80"/>
              <w:right w:type="dxa" w:w="120"/>
            </w:tcMar>
            <w:vAlign w:val="center"/>
          </w:tcPr>
          <w:p>
            <w:pPr>
              <w:jc w:val="left"/>
            </w:pPr>
            <w:r>
              <w:rPr>
                <w:rFonts w:ascii="Arial" w:cs="Arial" w:eastAsia="Arial" w:hAnsi="Arial"/>
                <w:b/>
                <w:bCs/>
                <w:color w:val="2E7D52"/>
                <w:sz w:val="18"/>
                <w:szCs w:val="18"/>
              </w:rPr>
              <w:t xml:space="preserve">Temporal (hardest)</w:t>
            </w:r>
          </w:p>
        </w:tc>
        <w:tc>
          <w:tcPr>
            <w:tcW w:type="dxa" w:w="2400"/>
            <w:tcBorders>
              <w:top w:val="single" w:color="2E7D52" w:sz="3"/>
              <w:left w:val="single" w:color="2E7D52" w:sz="3"/>
              <w:bottom w:val="single" w:color="2E7D52" w:sz="3"/>
              <w:right w:val="single" w:color="2E7D52" w:sz="3"/>
            </w:tcBorders>
            <w:shd w:fill="D6EAD8" w:val="clear"/>
            <w:tcMar>
              <w:top w:type="dxa" w:w="80"/>
              <w:left w:type="dxa" w:w="120"/>
              <w:bottom w:type="dxa" w:w="80"/>
              <w:right w:type="dxa" w:w="120"/>
            </w:tcMar>
            <w:vAlign w:val="center"/>
          </w:tcPr>
          <w:p>
            <w:pPr>
              <w:jc w:val="center"/>
            </w:pPr>
            <w:r>
              <w:rPr>
                <w:rFonts w:ascii="Arial" w:cs="Arial" w:eastAsia="Arial" w:hAnsi="Arial"/>
                <w:b/>
                <w:bCs/>
                <w:color w:val="2E7D52"/>
                <w:sz w:val="18"/>
                <w:szCs w:val="18"/>
              </w:rPr>
              <w:t xml:space="preserve">2021–2023</w:t>
            </w:r>
          </w:p>
        </w:tc>
        <w:tc>
          <w:tcPr>
            <w:tcW w:type="dxa" w:w="2400"/>
            <w:tcBorders>
              <w:top w:val="single" w:color="2E7D52" w:sz="3"/>
              <w:left w:val="single" w:color="2E7D52" w:sz="3"/>
              <w:bottom w:val="single" w:color="2E7D52" w:sz="3"/>
              <w:right w:val="single" w:color="2E7D52" w:sz="3"/>
            </w:tcBorders>
            <w:shd w:fill="D6EAD8" w:val="clear"/>
            <w:tcMar>
              <w:top w:type="dxa" w:w="80"/>
              <w:left w:type="dxa" w:w="120"/>
              <w:bottom w:type="dxa" w:w="80"/>
              <w:right w:type="dxa" w:w="120"/>
            </w:tcMar>
            <w:vAlign w:val="center"/>
          </w:tcPr>
          <w:p>
            <w:pPr>
              <w:jc w:val="center"/>
            </w:pPr>
            <w:r>
              <w:rPr>
                <w:rFonts w:ascii="Arial" w:cs="Arial" w:eastAsia="Arial" w:hAnsi="Arial"/>
                <w:b/>
                <w:bCs/>
                <w:color w:val="2E7D52"/>
                <w:sz w:val="18"/>
                <w:szCs w:val="18"/>
              </w:rPr>
              <w:t xml:space="preserve">2023 last 10%</w:t>
            </w:r>
          </w:p>
        </w:tc>
        <w:tc>
          <w:tcPr>
            <w:tcW w:type="dxa" w:w="2400"/>
            <w:tcBorders>
              <w:top w:val="single" w:color="2E7D52" w:sz="3"/>
              <w:left w:val="single" w:color="2E7D52" w:sz="3"/>
              <w:bottom w:val="single" w:color="2E7D52" w:sz="3"/>
              <w:right w:val="single" w:color="2E7D52" w:sz="3"/>
            </w:tcBorders>
            <w:shd w:fill="D6EAD8" w:val="clear"/>
            <w:tcMar>
              <w:top w:type="dxa" w:w="80"/>
              <w:left w:type="dxa" w:w="120"/>
              <w:bottom w:type="dxa" w:w="80"/>
              <w:right w:type="dxa" w:w="120"/>
            </w:tcMar>
            <w:vAlign w:val="center"/>
          </w:tcPr>
          <w:p>
            <w:pPr>
              <w:jc w:val="center"/>
            </w:pPr>
            <w:r>
              <w:rPr>
                <w:rFonts w:ascii="Arial" w:cs="Arial" w:eastAsia="Arial" w:hAnsi="Arial"/>
                <w:b/>
                <w:bCs/>
                <w:color w:val="2E7D52"/>
                <w:sz w:val="18"/>
                <w:szCs w:val="18"/>
              </w:rPr>
              <w:t xml:space="preserve">2024</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D52" w:sz="4"/>
              <w:left w:val="single" w:color="2E7D52" w:sz="4"/>
              <w:bottom w:val="single" w:color="2E7D52" w:sz="4"/>
              <w:right w:val="single" w:color="2E7D52" w:sz="4"/>
            </w:tcBorders>
            <w:shd w:fill="2E7D52"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RECOMMENDATION</w:t>
            </w:r>
          </w:p>
        </w:tc>
        <w:tc>
          <w:tcPr>
            <w:tcW w:type="dxa" w:w="7920"/>
            <w:tcBorders>
              <w:top w:val="single" w:color="2E7D52" w:sz="4"/>
              <w:left w:val="single" w:color="2E7D52" w:sz="4"/>
              <w:bottom w:val="single" w:color="2E7D52" w:sz="4"/>
              <w:right w:val="single" w:color="2E7D52" w:sz="4"/>
            </w:tcBorders>
            <w:shd w:fill="D6EAD8" w:val="clear"/>
            <w:tcMar>
              <w:top w:type="dxa" w:w="120"/>
              <w:left w:type="dxa" w:w="160"/>
              <w:bottom w:type="dxa" w:w="120"/>
              <w:right w:type="dxa" w:w="120"/>
            </w:tcMar>
          </w:tcPr>
          <w:p>
            <w:r>
              <w:rPr>
                <w:rFonts w:ascii="Arial" w:cs="Arial" w:eastAsia="Arial" w:hAnsi="Arial"/>
                <w:color w:val="1A1A1A"/>
                <w:sz w:val="20"/>
                <w:szCs w:val="20"/>
              </w:rPr>
              <w:t xml:space="preserve">Always report temporal split results alongside random split results. The performance gap between the two is itself a publishable finding about real-world model robustness.</w:t>
            </w:r>
          </w:p>
        </w:tc>
      </w:tr>
    </w:tbl>
    <w:p>
      <w:pPr>
        <w:spacing w:after="60" w:before="60"/>
      </w:pPr>
      <w:r>
        <w:rPr>
          <w:rFonts w:ascii="Arial" w:cs="Arial" w:eastAsia="Arial" w:hAnsi="Arial"/>
        </w:rPr>
        <w:t xml:space="preserve"/>
      </w:r>
    </w:p>
    <w:p>
      <w:r>
        <w:br w:type="page"/>
      </w:r>
    </w:p>
    <w:p>
      <w:pPr>
        <w:pStyle w:val="Heading1"/>
        <w:pBdr>
          <w:bottom w:val="single" w:color="2E7D52" w:sz="6" w:space="6"/>
        </w:pBdr>
        <w:spacing w:after="160" w:before="360"/>
      </w:pPr>
      <w:r>
        <w:rPr>
          <w:rFonts w:ascii="Arial" w:cs="Arial" w:eastAsia="Arial" w:hAnsi="Arial"/>
          <w:b/>
          <w:bCs/>
          <w:color w:val="1A5C38"/>
          <w:sz w:val="32"/>
          <w:szCs w:val="32"/>
        </w:rPr>
        <w:t xml:space="preserve">10.  Summary: The Eight Unique Value Propositions</w:t>
      </w:r>
    </w:p>
    <w:p>
      <w:pPr>
        <w:spacing w:after="140" w:before="60"/>
      </w:pPr>
      <w:r>
        <w:rPr>
          <w:rFonts w:ascii="Arial" w:cs="Arial" w:eastAsia="Arial" w:hAnsi="Arial"/>
          <w:color w:val="1A1A1A"/>
          <w:sz w:val="20"/>
          <w:szCs w:val="20"/>
        </w:rPr>
        <w:t xml:space="preserve">The following table consolidates the dataset's differentiators against the state of the 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000"/>
        <w:gridCol w:w="6000"/>
      </w:tblGrid>
      <w:tr>
        <w:tc>
          <w:tcPr>
            <w:tcW w:type="dxa" w:w="36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t>
            </w:r>
          </w:p>
        </w:tc>
        <w:tc>
          <w:tcPr>
            <w:tcW w:type="dxa" w:w="300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Dimension</w:t>
            </w:r>
          </w:p>
        </w:tc>
        <w:tc>
          <w:tcPr>
            <w:tcW w:type="dxa" w:w="6000"/>
            <w:gridSpan w:val="1"/>
            <w:tcBorders>
              <w:top w:val="single" w:color="1A5C38" w:sz="4"/>
              <w:left w:val="single" w:color="1A5C38" w:sz="4"/>
              <w:bottom w:val="single" w:color="1A5C38" w:sz="4"/>
              <w:right w:val="single" w:color="1A5C38" w:sz="4"/>
            </w:tcBorders>
            <w:shd w:fill="1A5C38"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What Makes It Unique</w:t>
            </w:r>
          </w:p>
        </w:tc>
      </w:tr>
      <w:tr>
        <w:tc>
          <w:tcPr>
            <w:tcW w:type="dxa" w:w="360"/>
            <w:tcBorders>
              <w:top w:val="single" w:color="CCCCCC" w:sz="2"/>
              <w:left w:val="single" w:color="CCCCCC" w:sz="2"/>
              <w:bottom w:val="single" w:color="CCCCCC" w:sz="2"/>
              <w:right w:val="single" w:color="CCCCCC" w:sz="2"/>
            </w:tcBorders>
            <w:shd w:fill="D6EAD8"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1</w:t>
            </w:r>
          </w:p>
        </w:tc>
        <w:tc>
          <w:tcPr>
            <w:tcW w:type="dxa" w:w="3000"/>
            <w:tcBorders>
              <w:top w:val="single" w:color="CCCCCC" w:sz="2"/>
              <w:left w:val="single" w:color="CCCCCC" w:sz="2"/>
              <w:bottom w:val="single" w:color="CCCCCC" w:sz="2"/>
              <w:right w:val="single" w:color="CCCCCC" w:sz="2"/>
            </w:tcBorders>
            <w:shd w:fill="D6EAD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Scale</w:t>
            </w:r>
          </w:p>
        </w:tc>
        <w:tc>
          <w:tcPr>
            <w:tcW w:type="dxa" w:w="6000"/>
            <w:tcBorders>
              <w:top w:val="single" w:color="CCCCCC" w:sz="2"/>
              <w:left w:val="single" w:color="CCCCCC" w:sz="2"/>
              <w:bottom w:val="single" w:color="CCCCCC" w:sz="2"/>
              <w:right w:val="single" w:color="CCCCCC" w:sz="2"/>
            </w:tcBorders>
            <w:shd w:fill="D6EAD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1,928 cattle — 6× larger than any published weight-GT livestock dataset</w:t>
            </w:r>
          </w:p>
        </w:tc>
      </w:tr>
      <w:tr>
        <w:tc>
          <w:tcPr>
            <w:tcW w:type="dxa" w:w="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2</w:t>
            </w:r>
          </w:p>
        </w:tc>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Multi-modality</w:t>
            </w:r>
          </w:p>
        </w:tc>
        <w:tc>
          <w:tcPr>
            <w:tcW w:type="dxa" w:w="6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4-view HD images + monocular YouTube video for 98.3% of animals — no other dataset combines both</w:t>
            </w:r>
          </w:p>
        </w:tc>
      </w:tr>
      <w:tr>
        <w:tc>
          <w:tcPr>
            <w:tcW w:type="dxa" w:w="360"/>
            <w:tcBorders>
              <w:top w:val="single" w:color="CCCCCC" w:sz="2"/>
              <w:left w:val="single" w:color="CCCCCC" w:sz="2"/>
              <w:bottom w:val="single" w:color="CCCCCC" w:sz="2"/>
              <w:right w:val="single" w:color="CCCCCC" w:sz="2"/>
            </w:tcBorders>
            <w:shd w:fill="D6EAD8"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3</w:t>
            </w:r>
          </w:p>
        </w:tc>
        <w:tc>
          <w:tcPr>
            <w:tcW w:type="dxa" w:w="3000"/>
            <w:tcBorders>
              <w:top w:val="single" w:color="CCCCCC" w:sz="2"/>
              <w:left w:val="single" w:color="CCCCCC" w:sz="2"/>
              <w:bottom w:val="single" w:color="CCCCCC" w:sz="2"/>
              <w:right w:val="single" w:color="CCCCCC" w:sz="2"/>
            </w:tcBorders>
            <w:shd w:fill="D6EAD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Label richness</w:t>
            </w:r>
          </w:p>
        </w:tc>
        <w:tc>
          <w:tcPr>
            <w:tcW w:type="dxa" w:w="6000"/>
            <w:tcBorders>
              <w:top w:val="single" w:color="CCCCCC" w:sz="2"/>
              <w:left w:val="single" w:color="CCCCCC" w:sz="2"/>
              <w:bottom w:val="single" w:color="CCCCCC" w:sz="2"/>
              <w:right w:val="single" w:color="CCCCCC" w:sz="2"/>
            </w:tcBorders>
            <w:shd w:fill="D6EAD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28 metadata columns including weight, height, breed, teeth, feed, feedlot, 4 health certs, price, market status</w:t>
            </w:r>
          </w:p>
        </w:tc>
      </w:tr>
      <w:tr>
        <w:tc>
          <w:tcPr>
            <w:tcW w:type="dxa" w:w="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4</w:t>
            </w:r>
          </w:p>
        </w:tc>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Longitudinal span</w:t>
            </w:r>
          </w:p>
        </w:tc>
        <w:tc>
          <w:tcPr>
            <w:tcW w:type="dxa" w:w="6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5 consecutive Eid seasons (2021–2025) with documented distribution shift in weight, breed, and feed protocol</w:t>
            </w:r>
          </w:p>
        </w:tc>
      </w:tr>
      <w:tr>
        <w:tc>
          <w:tcPr>
            <w:tcW w:type="dxa" w:w="360"/>
            <w:tcBorders>
              <w:top w:val="single" w:color="CCCCCC" w:sz="2"/>
              <w:left w:val="single" w:color="CCCCCC" w:sz="2"/>
              <w:bottom w:val="single" w:color="CCCCCC" w:sz="2"/>
              <w:right w:val="single" w:color="CCCCCC" w:sz="2"/>
            </w:tcBorders>
            <w:shd w:fill="D6EAD8"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5</w:t>
            </w:r>
          </w:p>
        </w:tc>
        <w:tc>
          <w:tcPr>
            <w:tcW w:type="dxa" w:w="3000"/>
            <w:tcBorders>
              <w:top w:val="single" w:color="CCCCCC" w:sz="2"/>
              <w:left w:val="single" w:color="CCCCCC" w:sz="2"/>
              <w:bottom w:val="single" w:color="CCCCCC" w:sz="2"/>
              <w:right w:val="single" w:color="CCCCCC" w:sz="2"/>
            </w:tcBorders>
            <w:shd w:fill="D6EAD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Breed coverage</w:t>
            </w:r>
          </w:p>
        </w:tc>
        <w:tc>
          <w:tcPr>
            <w:tcW w:type="dxa" w:w="6000"/>
            <w:tcBorders>
              <w:top w:val="single" w:color="CCCCCC" w:sz="2"/>
              <w:left w:val="single" w:color="CCCCCC" w:sz="2"/>
              <w:bottom w:val="single" w:color="CCCCCC" w:sz="2"/>
              <w:right w:val="single" w:color="CCCCCC" w:sz="2"/>
            </w:tcBorders>
            <w:shd w:fill="D6EAD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8 South Asian breeds absent from all existing CV benchmarks</w:t>
            </w:r>
          </w:p>
        </w:tc>
      </w:tr>
      <w:tr>
        <w:tc>
          <w:tcPr>
            <w:tcW w:type="dxa" w:w="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6</w:t>
            </w:r>
          </w:p>
        </w:tc>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Economic labels</w:t>
            </w:r>
          </w:p>
        </w:tc>
        <w:tc>
          <w:tcPr>
            <w:tcW w:type="dxa" w:w="6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Commercial price (r=0.895 with weight) and sale status as real-world outcome labels</w:t>
            </w:r>
          </w:p>
        </w:tc>
      </w:tr>
      <w:tr>
        <w:tc>
          <w:tcPr>
            <w:tcW w:type="dxa" w:w="360"/>
            <w:tcBorders>
              <w:top w:val="single" w:color="CCCCCC" w:sz="2"/>
              <w:left w:val="single" w:color="CCCCCC" w:sz="2"/>
              <w:bottom w:val="single" w:color="CCCCCC" w:sz="2"/>
              <w:right w:val="single" w:color="CCCCCC" w:sz="2"/>
            </w:tcBorders>
            <w:shd w:fill="D6EAD8"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7</w:t>
            </w:r>
          </w:p>
        </w:tc>
        <w:tc>
          <w:tcPr>
            <w:tcW w:type="dxa" w:w="3000"/>
            <w:tcBorders>
              <w:top w:val="single" w:color="CCCCCC" w:sz="2"/>
              <w:left w:val="single" w:color="CCCCCC" w:sz="2"/>
              <w:bottom w:val="single" w:color="CCCCCC" w:sz="2"/>
              <w:right w:val="single" w:color="CCCCCC" w:sz="2"/>
            </w:tcBorders>
            <w:shd w:fill="D6EAD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Teeth-based age</w:t>
            </w:r>
          </w:p>
        </w:tc>
        <w:tc>
          <w:tcPr>
            <w:tcW w:type="dxa" w:w="6000"/>
            <w:tcBorders>
              <w:top w:val="single" w:color="CCCCCC" w:sz="2"/>
              <w:left w:val="single" w:color="CCCCCC" w:sz="2"/>
              <w:bottom w:val="single" w:color="CCCCCC" w:sz="2"/>
              <w:right w:val="single" w:color="CCCCCC" w:sz="2"/>
            </w:tcBorders>
            <w:shd w:fill="D6EAD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5-class physiological age proxy with monotonic weight/price correlation — enables non-invasive age estimation</w:t>
            </w:r>
          </w:p>
        </w:tc>
      </w:tr>
      <w:tr>
        <w:tc>
          <w:tcPr>
            <w:tcW w:type="dxa" w:w="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8</w:t>
            </w:r>
          </w:p>
        </w:tc>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Geopolitical context</w:t>
            </w:r>
          </w:p>
        </w:tc>
        <w:tc>
          <w:tcPr>
            <w:tcW w:type="dxa" w:w="6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Only ML dataset from Bangladesh’s Qurbani cattle market — direct deployment path to a 170M-person economy</w:t>
            </w:r>
          </w:p>
        </w:tc>
      </w:tr>
    </w:tbl>
    <w:p>
      <w:pPr>
        <w:spacing w:after="120" w:before="120"/>
      </w:pPr>
      <w:r>
        <w:rPr>
          <w:rFonts w:ascii="Arial" w:cs="Arial" w:eastAsia="Arial" w:hAnsi="Arial"/>
        </w:rPr>
        <w:t xml:space="preserve"/>
      </w:r>
    </w:p>
    <w:p>
      <w:pPr>
        <w:pBdr>
          <w:top w:val="single" w:color="2E7D52" w:sz="6" w:space="6"/>
        </w:pBdr>
        <w:spacing w:after="60" w:before="200"/>
        <w:jc w:val="center"/>
      </w:pPr>
      <w:r>
        <w:rPr>
          <w:rFonts w:ascii="Arial" w:cs="Arial" w:eastAsia="Arial" w:hAnsi="Arial"/>
          <w:i/>
          <w:iCs/>
          <w:color w:val="555555"/>
          <w:sz w:val="20"/>
          <w:szCs w:val="20"/>
        </w:rPr>
        <w:t xml:space="preserve">Prepared for publication planning — Mobasshir Bhuiya Shagor, Graaho Technologies, April 2026</w:t>
      </w:r>
    </w:p>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6"/>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Mobasshir Bhuiya Shagor, Graaho Technologies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6"/>
      </w:pBdr>
      <w:spacing w:after="0"/>
    </w:pPr>
    <w:r>
      <w:rPr>
        <w:rFonts w:ascii="Arial" w:cs="Arial" w:eastAsia="Arial" w:hAnsi="Arial"/>
        <w:i/>
        <w:iCs/>
        <w:color w:val="888888"/>
        <w:sz w:val="16"/>
        <w:szCs w:val="16"/>
      </w:rPr>
      <w:t xml:space="preserve">BengalCattle-5Y Dataset  •  Unique Value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E7D52"/>
      </w:r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C38"/>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D52"/>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D3D3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2026-04-08T06:11:20.438Z</dcterms:created>
  <dcterms:modified xsi:type="dcterms:W3CDTF">2026-04-08T06:11:20.438Z</dcterms:modified>
</cp:coreProperties>
</file>

<file path=docProps/custom.xml><?xml version="1.0" encoding="utf-8"?>
<Properties xmlns="http://schemas.openxmlformats.org/officeDocument/2006/custom-properties" xmlns:vt="http://schemas.openxmlformats.org/officeDocument/2006/docPropsVTypes"/>
</file>