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E12A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80" w:after="240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Indian Market Daily Wrap Template</w:t>
      </w:r>
    </w:p>
    <w:p w14:paraId="2529EBFD" w14:textId="76AD5E75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 xml:space="preserve">Date: </w:t>
      </w:r>
      <w:r w:rsidR="00624D8E" w:rsidRPr="00624D8E">
        <w:rPr>
          <w:b/>
          <w:color w:val="000000"/>
          <w:sz w:val="32"/>
          <w:szCs w:val="32"/>
        </w:rPr>
        <w:t>{{REPORT_DATE}}</w:t>
      </w:r>
    </w:p>
    <w:p w14:paraId="544F19AF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I. Executive Summary</w:t>
      </w:r>
    </w:p>
    <w:p w14:paraId="029688DC" w14:textId="1D046B27" w:rsidR="000C5D1F" w:rsidRDefault="00624D8E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  <w:r w:rsidRPr="00624D8E">
        <w:rPr>
          <w:color w:val="000000"/>
        </w:rPr>
        <w:t>{{EXECUTIVE_SUMMARY}}</w:t>
      </w:r>
    </w:p>
    <w:p w14:paraId="640D00D0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II. Market Performance Overview</w:t>
      </w:r>
    </w:p>
    <w:p w14:paraId="61E521CD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A. Major Indices</w:t>
      </w:r>
    </w:p>
    <w:tbl>
      <w:tblPr>
        <w:tblStyle w:val="a"/>
        <w:tblW w:w="9504" w:type="dxa"/>
        <w:tblInd w:w="0" w:type="dxa"/>
        <w:tblBorders>
          <w:top w:val="single" w:sz="4" w:space="0" w:color="E1E4E8"/>
          <w:left w:val="nil"/>
          <w:bottom w:val="single" w:sz="4" w:space="0" w:color="E1E4E8"/>
          <w:right w:val="nil"/>
          <w:insideH w:val="single" w:sz="4" w:space="0" w:color="E1E4E8"/>
          <w:insideV w:val="single" w:sz="4" w:space="0" w:color="F6F8FA"/>
        </w:tblBorders>
        <w:tblLayout w:type="fixed"/>
        <w:tblLook w:val="0000" w:firstRow="0" w:lastRow="0" w:firstColumn="0" w:lastColumn="0" w:noHBand="0" w:noVBand="0"/>
      </w:tblPr>
      <w:tblGrid>
        <w:gridCol w:w="1584"/>
        <w:gridCol w:w="1584"/>
        <w:gridCol w:w="1584"/>
        <w:gridCol w:w="1584"/>
        <w:gridCol w:w="1584"/>
        <w:gridCol w:w="1584"/>
      </w:tblGrid>
      <w:tr w:rsidR="000C5D1F" w14:paraId="7AFBD920" w14:textId="77777777">
        <w:trPr>
          <w:cantSplit/>
          <w:trHeight w:val="720"/>
          <w:tblHeader/>
        </w:trPr>
        <w:tc>
          <w:tcPr>
            <w:tcW w:w="1584" w:type="dxa"/>
            <w:tcBorders>
              <w:lef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E9814" w14:textId="77777777" w:rsidR="000C5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Index</w:t>
            </w:r>
          </w:p>
        </w:tc>
        <w:tc>
          <w:tcPr>
            <w:tcW w:w="15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2D129B" w14:textId="77777777" w:rsidR="000C5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right="-675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Closing Value</w:t>
            </w:r>
          </w:p>
        </w:tc>
        <w:tc>
          <w:tcPr>
            <w:tcW w:w="15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F87E6" w14:textId="77777777" w:rsidR="000C5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Change (Points)</w:t>
            </w:r>
          </w:p>
        </w:tc>
        <w:tc>
          <w:tcPr>
            <w:tcW w:w="15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D2FE2" w14:textId="77777777" w:rsidR="000C5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Change (%)</w:t>
            </w:r>
          </w:p>
        </w:tc>
        <w:tc>
          <w:tcPr>
            <w:tcW w:w="15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2ED2F" w14:textId="77777777" w:rsidR="000C5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52-Week High</w:t>
            </w:r>
          </w:p>
        </w:tc>
        <w:tc>
          <w:tcPr>
            <w:tcW w:w="1584" w:type="dxa"/>
            <w:tcBorders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1F61F" w14:textId="77777777" w:rsidR="000C5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52-Week Low</w:t>
            </w:r>
          </w:p>
        </w:tc>
      </w:tr>
      <w:tr w:rsidR="00624D8E" w14:paraId="1EFBCC86" w14:textId="77777777" w:rsidTr="009536D3">
        <w:trPr>
          <w:cantSplit/>
          <w:trHeight w:val="576"/>
        </w:trPr>
        <w:tc>
          <w:tcPr>
            <w:tcW w:w="1584" w:type="dxa"/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5A6F9" w14:textId="77777777" w:rsid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Nifty 50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36C28" w14:textId="6D357028" w:rsid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{{NIFTY_CLOSING}}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9223B" w14:textId="27C9240F" w:rsid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{{NIFTY_CHANGE_POINTS}}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1A43" w14:textId="3130417C" w:rsid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{{NIFTY_CHANGE_PERCENT}}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3343D" w14:textId="139D65A0" w:rsid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796698">
              <w:rPr>
                <w:rStyle w:val="HTMLCode"/>
              </w:rPr>
              <w:t>{{NIFTY_52W_HIGH}}</w:t>
            </w:r>
          </w:p>
        </w:tc>
        <w:tc>
          <w:tcPr>
            <w:tcW w:w="1584" w:type="dxa"/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CEF7" w14:textId="1C6B2CDE" w:rsid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796698">
              <w:rPr>
                <w:rStyle w:val="HTMLCode"/>
              </w:rPr>
              <w:t>{{NIFTY_52W_LOW}}</w:t>
            </w:r>
          </w:p>
        </w:tc>
      </w:tr>
      <w:tr w:rsidR="000C5D1F" w14:paraId="5F63E5C6" w14:textId="77777777">
        <w:trPr>
          <w:cantSplit/>
          <w:trHeight w:val="576"/>
        </w:trPr>
        <w:tc>
          <w:tcPr>
            <w:tcW w:w="1584" w:type="dxa"/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1EEA5" w14:textId="77777777" w:rsidR="000C5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Sensex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D1219" w14:textId="4556AD2B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{{SENSEX_CLOSING}}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C20F9" w14:textId="5CBDA29B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{{SENSEX_CHANGE_POINTS}}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9CCC5" w14:textId="11E06B1B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{{SENSEX_CHANGE_PERCENT}}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17304" w14:textId="455BA166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{{SENSEX_52W_HIGH}}</w:t>
            </w:r>
          </w:p>
        </w:tc>
        <w:tc>
          <w:tcPr>
            <w:tcW w:w="1584" w:type="dxa"/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624EF" w14:textId="25D8AB9E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{{SENSEX_52W_LOW}}</w:t>
            </w:r>
          </w:p>
        </w:tc>
      </w:tr>
      <w:tr w:rsidR="000C5D1F" w14:paraId="0D00A15E" w14:textId="77777777">
        <w:trPr>
          <w:cantSplit/>
          <w:trHeight w:val="576"/>
        </w:trPr>
        <w:tc>
          <w:tcPr>
            <w:tcW w:w="1584" w:type="dxa"/>
            <w:tcBorders>
              <w:left w:val="nil"/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2CE00" w14:textId="77777777" w:rsidR="000C5D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Nifty Bank</w:t>
            </w:r>
          </w:p>
        </w:tc>
        <w:tc>
          <w:tcPr>
            <w:tcW w:w="1584" w:type="dxa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58D26" w14:textId="1DC126CB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{{BANK_NIFTY_CLOSING}}</w:t>
            </w:r>
          </w:p>
        </w:tc>
        <w:tc>
          <w:tcPr>
            <w:tcW w:w="1584" w:type="dxa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4B8A7" w14:textId="1D8257BD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{{BANK_NIFTY_CHANGE_POINTS}}</w:t>
            </w:r>
          </w:p>
        </w:tc>
        <w:tc>
          <w:tcPr>
            <w:tcW w:w="1584" w:type="dxa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CD44E" w14:textId="2F0C61AD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{{BANK_NIFTY_CHANGE_PERCENT}}</w:t>
            </w:r>
          </w:p>
        </w:tc>
        <w:tc>
          <w:tcPr>
            <w:tcW w:w="1584" w:type="dxa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994EB" w14:textId="48722366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{{BANK_NIFTY_52W_HIGH}}</w:t>
            </w:r>
          </w:p>
        </w:tc>
        <w:tc>
          <w:tcPr>
            <w:tcW w:w="1584" w:type="dxa"/>
            <w:tcBorders>
              <w:bottom w:val="single" w:sz="4" w:space="0" w:color="E1E4E8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2DA61" w14:textId="5386AACE" w:rsidR="000C5D1F" w:rsidRDefault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0"/>
                <w:szCs w:val="20"/>
              </w:rPr>
            </w:pPr>
            <w:r w:rsidRPr="00624D8E">
              <w:rPr>
                <w:color w:val="000000"/>
                <w:sz w:val="20"/>
                <w:szCs w:val="20"/>
              </w:rPr>
              <w:t>{{BANK_NIFTY_52W_LOW}}</w:t>
            </w:r>
          </w:p>
        </w:tc>
      </w:tr>
    </w:tbl>
    <w:p w14:paraId="3C6133A5" w14:textId="4E84A569" w:rsidR="000C5D1F" w:rsidRPr="00624D8E" w:rsidRDefault="00624D8E" w:rsidP="00624D8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  <w:r w:rsidRPr="00624D8E">
        <w:rPr>
          <w:i/>
          <w:iCs/>
          <w:color w:val="000000"/>
        </w:rPr>
        <w:t>Commentary</w:t>
      </w:r>
      <w:r w:rsidRPr="00624D8E">
        <w:rPr>
          <w:color w:val="000000"/>
        </w:rPr>
        <w:t>: {{INDICES_COMMENTARY}}</w:t>
      </w:r>
    </w:p>
    <w:p w14:paraId="78072651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B. Market Breadth</w:t>
      </w:r>
    </w:p>
    <w:p w14:paraId="0E128AF7" w14:textId="61602457" w:rsidR="00624D8E" w:rsidRDefault="00624D8E" w:rsidP="00624D8E">
      <w:pPr>
        <w:pStyle w:val="NormalWeb"/>
        <w:numPr>
          <w:ilvl w:val="0"/>
          <w:numId w:val="1"/>
        </w:numPr>
      </w:pPr>
      <w:r>
        <w:rPr>
          <w:b/>
          <w:bCs/>
        </w:rPr>
        <w:t>Advances</w:t>
      </w:r>
      <w:r>
        <w:t>: {{ADVANCES}}</w:t>
      </w:r>
    </w:p>
    <w:p w14:paraId="7869CD84" w14:textId="529F89C8" w:rsidR="00624D8E" w:rsidRDefault="00624D8E" w:rsidP="00624D8E">
      <w:pPr>
        <w:pStyle w:val="NormalWeb"/>
        <w:numPr>
          <w:ilvl w:val="0"/>
          <w:numId w:val="1"/>
        </w:numPr>
      </w:pPr>
      <w:r>
        <w:rPr>
          <w:b/>
          <w:bCs/>
        </w:rPr>
        <w:t>Declines</w:t>
      </w:r>
      <w:r>
        <w:t>: {{DECLINES}}</w:t>
      </w:r>
    </w:p>
    <w:p w14:paraId="7C37CECB" w14:textId="77777777" w:rsidR="00624D8E" w:rsidRDefault="00624D8E" w:rsidP="00624D8E">
      <w:pPr>
        <w:pStyle w:val="NormalWeb"/>
        <w:numPr>
          <w:ilvl w:val="0"/>
          <w:numId w:val="1"/>
        </w:numPr>
      </w:pPr>
      <w:r>
        <w:rPr>
          <w:b/>
          <w:bCs/>
        </w:rPr>
        <w:t>Unchanged</w:t>
      </w:r>
      <w:r>
        <w:t>: {{UNCHANGED}}</w:t>
      </w:r>
    </w:p>
    <w:p w14:paraId="3D0EDFC1" w14:textId="3E8B2C85" w:rsidR="000C5D1F" w:rsidRPr="00624D8E" w:rsidRDefault="00624D8E" w:rsidP="00624D8E">
      <w:pPr>
        <w:pStyle w:val="NormalWeb"/>
        <w:numPr>
          <w:ilvl w:val="0"/>
          <w:numId w:val="1"/>
        </w:numPr>
      </w:pPr>
      <w:r w:rsidRPr="00624D8E">
        <w:rPr>
          <w:i/>
          <w:iCs/>
        </w:rPr>
        <w:t>Commentary</w:t>
      </w:r>
      <w:r>
        <w:t>: {{BREADTH_COMMENTARY}}</w:t>
      </w:r>
    </w:p>
    <w:p w14:paraId="7EAABD8F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C. Volume Analysis</w:t>
      </w:r>
    </w:p>
    <w:p w14:paraId="33F9C1FD" w14:textId="0E429060" w:rsidR="00624D8E" w:rsidRPr="00624D8E" w:rsidRDefault="00624D8E" w:rsidP="00624D8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624D8E">
        <w:rPr>
          <w:b/>
          <w:bCs/>
          <w:color w:val="000000"/>
        </w:rPr>
        <w:t>Total Turnover (NSE Equity)</w:t>
      </w:r>
      <w:r w:rsidRPr="00624D8E">
        <w:rPr>
          <w:color w:val="000000"/>
        </w:rPr>
        <w:t>: ₹ {{NSE_TURNOVER}} Cr</w:t>
      </w:r>
    </w:p>
    <w:p w14:paraId="0F93E3AD" w14:textId="3000156C" w:rsidR="00624D8E" w:rsidRPr="00624D8E" w:rsidRDefault="00624D8E" w:rsidP="00624D8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624D8E">
        <w:rPr>
          <w:b/>
          <w:bCs/>
          <w:color w:val="000000"/>
        </w:rPr>
        <w:t>Total Turnover (BSE Equity)</w:t>
      </w:r>
      <w:r w:rsidRPr="00624D8E">
        <w:rPr>
          <w:color w:val="000000"/>
        </w:rPr>
        <w:t>: ₹ {{BSE_TURNOVER}} Cr</w:t>
      </w:r>
    </w:p>
    <w:p w14:paraId="37921261" w14:textId="0FD66C29" w:rsidR="00624D8E" w:rsidRPr="00624D8E" w:rsidRDefault="00624D8E" w:rsidP="00624D8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624D8E">
        <w:rPr>
          <w:i/>
          <w:iCs/>
          <w:color w:val="000000"/>
        </w:rPr>
        <w:t>Commentary</w:t>
      </w:r>
      <w:r w:rsidRPr="00624D8E">
        <w:rPr>
          <w:color w:val="000000"/>
        </w:rPr>
        <w:t>: {{VOLUME_COMMENTARY}}</w:t>
      </w:r>
    </w:p>
    <w:p w14:paraId="262C5D78" w14:textId="77777777" w:rsidR="000C5D1F" w:rsidRDefault="000C5D1F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0F0A7F6A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III. Sectoral Performance</w:t>
      </w:r>
    </w:p>
    <w:p w14:paraId="20C6CF8A" w14:textId="77777777" w:rsidR="000C5D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Overview of best and worst performing sectors.</w:t>
      </w:r>
    </w:p>
    <w:p w14:paraId="0614A64C" w14:textId="77777777" w:rsidR="000C5D1F" w:rsidRDefault="000C5D1F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tbl>
      <w:tblPr>
        <w:tblW w:w="9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4"/>
        <w:gridCol w:w="2693"/>
        <w:gridCol w:w="3827"/>
      </w:tblGrid>
      <w:tr w:rsidR="00624D8E" w:rsidRPr="00624D8E" w14:paraId="21B0A3A1" w14:textId="77777777" w:rsidTr="00624D8E">
        <w:trPr>
          <w:trHeight w:val="315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3C5AA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Sector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30F4E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Change (%)</w:t>
            </w:r>
          </w:p>
        </w:tc>
        <w:tc>
          <w:tcPr>
            <w:tcW w:w="3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CF099E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Key Drivers/Commentary</w:t>
            </w:r>
          </w:p>
        </w:tc>
      </w:tr>
      <w:tr w:rsidR="00624D8E" w:rsidRPr="00624D8E" w14:paraId="38A81BAF" w14:textId="77777777" w:rsidTr="00624D8E">
        <w:trPr>
          <w:trHeight w:val="315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8217EE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{{TOP_SECTOR_1_NAME}}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CCC87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{{TOP_SECTOR_1_CHANGE}}</w:t>
            </w:r>
          </w:p>
        </w:tc>
        <w:tc>
          <w:tcPr>
            <w:tcW w:w="3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9F4F0A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{{TOP_SECTOR_1_REASON}}</w:t>
            </w:r>
          </w:p>
        </w:tc>
      </w:tr>
      <w:tr w:rsidR="00624D8E" w:rsidRPr="00624D8E" w14:paraId="63B5F463" w14:textId="77777777" w:rsidTr="00624D8E">
        <w:trPr>
          <w:trHeight w:val="315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3AD561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{{TOP_SECTOR_2_NAME}}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8A4B0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{{TOP_SECTOR_2_CHANGE}}</w:t>
            </w:r>
          </w:p>
        </w:tc>
        <w:tc>
          <w:tcPr>
            <w:tcW w:w="3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729B20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{{TOP_SECTOR_2_REASON}}</w:t>
            </w:r>
          </w:p>
        </w:tc>
      </w:tr>
      <w:tr w:rsidR="00624D8E" w:rsidRPr="00624D8E" w14:paraId="013CF264" w14:textId="77777777" w:rsidTr="00624D8E">
        <w:trPr>
          <w:trHeight w:val="315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D78AB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{{BOTTOM_SECTOR_1_NAME}}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BB17E1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{{BOTTOM_SECTOR_1_CHANGE}}</w:t>
            </w:r>
          </w:p>
        </w:tc>
        <w:tc>
          <w:tcPr>
            <w:tcW w:w="3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8FF1D2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{{BOTTOM_SECTOR_1_REASON}}</w:t>
            </w:r>
          </w:p>
        </w:tc>
      </w:tr>
      <w:tr w:rsidR="00624D8E" w:rsidRPr="00624D8E" w14:paraId="569E319E" w14:textId="77777777" w:rsidTr="00624D8E">
        <w:trPr>
          <w:trHeight w:val="315"/>
        </w:trPr>
        <w:tc>
          <w:tcPr>
            <w:tcW w:w="254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2B856D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{{BOTTOM_SECTOR_2_NAME}}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A68B0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{{BOTTOM_SECTOR_2_CHANGE}}</w:t>
            </w:r>
          </w:p>
        </w:tc>
        <w:tc>
          <w:tcPr>
            <w:tcW w:w="3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7EEEDC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{{BOTTOM_SECTOR_2_REASON}}</w:t>
            </w:r>
          </w:p>
        </w:tc>
      </w:tr>
    </w:tbl>
    <w:p w14:paraId="258894DA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IV. Top Gainers &amp; Losers</w:t>
      </w:r>
    </w:p>
    <w:p w14:paraId="03C3382E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A. Nifty 50 Top Gainers</w:t>
      </w:r>
    </w:p>
    <w:tbl>
      <w:tblPr>
        <w:tblW w:w="90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9"/>
        <w:gridCol w:w="2140"/>
        <w:gridCol w:w="2397"/>
        <w:gridCol w:w="2344"/>
      </w:tblGrid>
      <w:tr w:rsidR="00624D8E" w:rsidRPr="00624D8E" w14:paraId="2C84EB3F" w14:textId="77777777" w:rsidTr="00624D8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274D8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Company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A95438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Closing Price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0A257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Change (%)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30ADB5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Volume (Shares)</w:t>
            </w:r>
          </w:p>
        </w:tc>
      </w:tr>
      <w:tr w:rsidR="00624D8E" w:rsidRPr="00624D8E" w14:paraId="6929003D" w14:textId="77777777" w:rsidTr="00624D8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419859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{{GAINER_1_NAME}}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E343F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{{GAINER_1_PRICE}}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A72B47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{{GAINER_1_CHANGE}}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344432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{{GAINER_1_VOLUME}}</w:t>
            </w:r>
          </w:p>
        </w:tc>
      </w:tr>
      <w:tr w:rsidR="00624D8E" w:rsidRPr="00624D8E" w14:paraId="6023C59E" w14:textId="77777777" w:rsidTr="00624D8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B0856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{{GAINER_2_NAME}}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BC5D4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{{GAINER_2_PRICE}}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610FC9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{{GAINER_2_CHANGE}}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A76D96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{{GAINER_2_VOLUME}}</w:t>
            </w:r>
          </w:p>
        </w:tc>
      </w:tr>
    </w:tbl>
    <w:p w14:paraId="3C3FFA9C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B. Nifty 50 Top Losers</w:t>
      </w:r>
    </w:p>
    <w:tbl>
      <w:tblPr>
        <w:tblW w:w="90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0"/>
        <w:gridCol w:w="2132"/>
        <w:gridCol w:w="2405"/>
        <w:gridCol w:w="2353"/>
      </w:tblGrid>
      <w:tr w:rsidR="00624D8E" w:rsidRPr="00624D8E" w14:paraId="1795052C" w14:textId="77777777" w:rsidTr="00624D8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D418E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Company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8CDB6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Closing Price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1892E2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Change (%)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C7EB27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Volume (Shares)</w:t>
            </w:r>
          </w:p>
        </w:tc>
      </w:tr>
      <w:tr w:rsidR="00624D8E" w:rsidRPr="00624D8E" w14:paraId="0D18E0A4" w14:textId="77777777" w:rsidTr="00624D8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F41FD5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{{LOSER_1_NAME}}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606B9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{{LOSER_1_PRICE}}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CA09A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{{LOSER_1_CHANGE}}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DA1308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{{LOSER_1_VOLUME}}</w:t>
            </w:r>
          </w:p>
        </w:tc>
      </w:tr>
      <w:tr w:rsidR="00624D8E" w:rsidRPr="00624D8E" w14:paraId="5D6B3BAF" w14:textId="77777777" w:rsidTr="00624D8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EB90A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{{LOSER_2_NAME}}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D76B8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{{LOSER_2_PRICE}}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052A1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{{LOSER_2_CHANGE}}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EE9F8B" w14:textId="77777777" w:rsidR="00624D8E" w:rsidRPr="00624D8E" w:rsidRDefault="00624D8E" w:rsidP="00624D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/>
                <w:color w:val="000000"/>
                <w:sz w:val="22"/>
                <w:szCs w:val="22"/>
              </w:rPr>
            </w:pPr>
            <w:r w:rsidRPr="00624D8E">
              <w:rPr>
                <w:b/>
                <w:color w:val="000000"/>
                <w:sz w:val="22"/>
                <w:szCs w:val="22"/>
              </w:rPr>
              <w:t>{{LOSER_2_VOLUME}}</w:t>
            </w:r>
          </w:p>
        </w:tc>
      </w:tr>
    </w:tbl>
    <w:p w14:paraId="74EF0E0B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V. Institutional Activity</w:t>
      </w:r>
    </w:p>
    <w:p w14:paraId="11FABA1B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A. Foreign Institutional Investors (FII)</w:t>
      </w:r>
    </w:p>
    <w:p w14:paraId="3FF5E68E" w14:textId="1C54B245" w:rsidR="00624D8E" w:rsidRPr="00624D8E" w:rsidRDefault="00624D8E" w:rsidP="00624D8E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624D8E">
        <w:rPr>
          <w:b/>
          <w:bCs/>
          <w:color w:val="000000"/>
        </w:rPr>
        <w:t>Equity</w:t>
      </w:r>
      <w:r w:rsidRPr="00624D8E">
        <w:rPr>
          <w:color w:val="000000"/>
        </w:rPr>
        <w:t>: Buy: {{FII_EQUITY_BUY}}, Sell: {{FII_EQUITY_SELL}}, Net: {{FII_EQUITY_NET}}</w:t>
      </w:r>
    </w:p>
    <w:p w14:paraId="271164D0" w14:textId="4FADC72F" w:rsidR="000C5D1F" w:rsidRPr="00B517F4" w:rsidRDefault="00624D8E" w:rsidP="00B517F4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624D8E">
        <w:rPr>
          <w:b/>
          <w:bCs/>
          <w:color w:val="000000"/>
        </w:rPr>
        <w:t>Debt</w:t>
      </w:r>
      <w:r w:rsidRPr="00624D8E">
        <w:rPr>
          <w:color w:val="000000"/>
        </w:rPr>
        <w:t>: Buy: {{FII_DEBT_BUY}}, Sell: {{FII_DEBT_SELL}}, Net: {{FII_DEBT_NET}}</w:t>
      </w:r>
    </w:p>
    <w:p w14:paraId="61553B34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B. Domestic Institutional Investors (DII)</w:t>
      </w:r>
    </w:p>
    <w:p w14:paraId="1DCD2A36" w14:textId="5508B46F" w:rsidR="000C5D1F" w:rsidRDefault="00B517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B517F4">
        <w:rPr>
          <w:b/>
          <w:bCs/>
          <w:color w:val="000000"/>
        </w:rPr>
        <w:t>Equity</w:t>
      </w:r>
      <w:r w:rsidRPr="00B517F4">
        <w:rPr>
          <w:color w:val="000000"/>
        </w:rPr>
        <w:t>: Buy: {{DII_EQUITY_BUY}}, Sell: {{DII_EQUITY_SELL}}, Net: {{DII_EQUITY_NET}}</w:t>
      </w:r>
    </w:p>
    <w:p w14:paraId="62D917CE" w14:textId="1E1311B0" w:rsidR="000C5D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B517F4">
        <w:rPr>
          <w:b/>
          <w:bCs/>
          <w:color w:val="000000"/>
        </w:rPr>
        <w:lastRenderedPageBreak/>
        <w:t>Debt</w:t>
      </w:r>
      <w:r>
        <w:rPr>
          <w:color w:val="000000"/>
        </w:rPr>
        <w:t>: Buy</w:t>
      </w:r>
      <w:r w:rsidR="00B517F4">
        <w:rPr>
          <w:color w:val="000000"/>
        </w:rPr>
        <w:t xml:space="preserve">: </w:t>
      </w:r>
      <w:r w:rsidR="00B517F4" w:rsidRPr="00B517F4">
        <w:rPr>
          <w:color w:val="000000"/>
        </w:rPr>
        <w:t>{{DII_DEBT_BUY}}, Sell: {{DII_DEBT_SELL}}, Net: {{DII_DEBT_NET}}</w:t>
      </w:r>
    </w:p>
    <w:p w14:paraId="0727B316" w14:textId="1249B203" w:rsidR="000C5D1F" w:rsidRPr="00B517F4" w:rsidRDefault="00B517F4" w:rsidP="00B517F4">
      <w:pPr>
        <w:pBdr>
          <w:top w:val="nil"/>
          <w:left w:val="nil"/>
          <w:bottom w:val="nil"/>
          <w:right w:val="nil"/>
          <w:between w:val="nil"/>
        </w:pBdr>
        <w:spacing w:before="60" w:after="60"/>
        <w:ind w:left="360"/>
      </w:pPr>
      <w:r w:rsidRPr="00B517F4">
        <w:rPr>
          <w:i/>
          <w:iCs/>
        </w:rPr>
        <w:t>Commentary</w:t>
      </w:r>
      <w:r w:rsidRPr="00B517F4">
        <w:t>: {{INSTITUTIONAL_COMMENTARY}}</w:t>
      </w:r>
    </w:p>
    <w:p w14:paraId="190E0A11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VI. Global Market Cues</w:t>
      </w:r>
    </w:p>
    <w:p w14:paraId="5BB825AD" w14:textId="0FA484E4" w:rsidR="000C5D1F" w:rsidRDefault="00B517F4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  <w:r w:rsidRPr="00B517F4">
        <w:rPr>
          <w:color w:val="000000"/>
        </w:rPr>
        <w:t>{{GLOBAL_MARKET_SUMMARY}}</w:t>
      </w:r>
    </w:p>
    <w:p w14:paraId="428A4061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VII. Commodities &amp; Currency</w:t>
      </w:r>
    </w:p>
    <w:p w14:paraId="62868032" w14:textId="5E6A1515" w:rsidR="00B517F4" w:rsidRPr="00B517F4" w:rsidRDefault="00B517F4" w:rsidP="00B517F4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B517F4">
        <w:rPr>
          <w:b/>
          <w:bCs/>
          <w:color w:val="000000"/>
        </w:rPr>
        <w:t>Crude Oil (Brent)</w:t>
      </w:r>
      <w:r w:rsidRPr="00B517F4">
        <w:rPr>
          <w:color w:val="000000"/>
        </w:rPr>
        <w:t>: {{BRENT_PRICE}} ({{BRENT_CHANGE}})</w:t>
      </w:r>
    </w:p>
    <w:p w14:paraId="5CF0F872" w14:textId="26B7B7EC" w:rsidR="00B517F4" w:rsidRPr="00B517F4" w:rsidRDefault="00B517F4" w:rsidP="00B517F4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B517F4">
        <w:rPr>
          <w:b/>
          <w:bCs/>
          <w:color w:val="000000"/>
        </w:rPr>
        <w:t>Gold</w:t>
      </w:r>
      <w:r w:rsidRPr="00B517F4">
        <w:rPr>
          <w:color w:val="000000"/>
        </w:rPr>
        <w:t>: {{GOLD_PRICE}} ({{GOLD_CHANGE}})</w:t>
      </w:r>
    </w:p>
    <w:p w14:paraId="2378180A" w14:textId="7117A4C9" w:rsidR="00B517F4" w:rsidRPr="00B517F4" w:rsidRDefault="00B517F4" w:rsidP="00B517F4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B517F4">
        <w:rPr>
          <w:b/>
          <w:bCs/>
          <w:color w:val="000000"/>
        </w:rPr>
        <w:t>INR vs USD</w:t>
      </w:r>
      <w:r w:rsidRPr="00B517F4">
        <w:rPr>
          <w:color w:val="000000"/>
        </w:rPr>
        <w:t>: {{INR_USD_RATE}} ({{INR_USD_CHANGE}})</w:t>
      </w:r>
    </w:p>
    <w:p w14:paraId="502D1417" w14:textId="1E3D7C9A" w:rsidR="000C5D1F" w:rsidRPr="00B517F4" w:rsidRDefault="00B517F4" w:rsidP="00B517F4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  <w:r w:rsidRPr="00B517F4">
        <w:rPr>
          <w:i/>
          <w:iCs/>
          <w:color w:val="000000"/>
        </w:rPr>
        <w:t>Commentary</w:t>
      </w:r>
      <w:r w:rsidRPr="00B517F4">
        <w:rPr>
          <w:color w:val="000000"/>
        </w:rPr>
        <w:t>: {{COMMODITY_CURRENCY_COMMENTARY}}</w:t>
      </w:r>
    </w:p>
    <w:p w14:paraId="6C688A59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VIII. Technical Outlook (for next trading day)</w:t>
      </w:r>
    </w:p>
    <w:p w14:paraId="2D9FEB6D" w14:textId="570D8FE6" w:rsidR="00B517F4" w:rsidRPr="00B517F4" w:rsidRDefault="00B517F4" w:rsidP="00B517F4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b/>
          <w:color w:val="000000"/>
        </w:rPr>
      </w:pPr>
      <w:r w:rsidRPr="00B517F4">
        <w:rPr>
          <w:b/>
          <w:bCs/>
          <w:color w:val="000000"/>
        </w:rPr>
        <w:t>Nifty 50</w:t>
      </w:r>
      <w:r w:rsidRPr="00B517F4">
        <w:rPr>
          <w:b/>
          <w:color w:val="000000"/>
        </w:rPr>
        <w:t>: Support: {{NIFTY_S1}}, {{NIFTY_S2}} | Resistance: {{NIFTY_R1}}, {{NIFTY_R2}}</w:t>
      </w:r>
    </w:p>
    <w:p w14:paraId="6B177974" w14:textId="3CECD11F" w:rsidR="00B517F4" w:rsidRPr="00B517F4" w:rsidRDefault="00B517F4" w:rsidP="00B517F4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b/>
          <w:color w:val="000000"/>
        </w:rPr>
      </w:pPr>
      <w:r w:rsidRPr="00B517F4">
        <w:rPr>
          <w:b/>
          <w:bCs/>
          <w:color w:val="000000"/>
        </w:rPr>
        <w:t>Bank Nifty</w:t>
      </w:r>
      <w:r w:rsidRPr="00B517F4">
        <w:rPr>
          <w:b/>
          <w:color w:val="000000"/>
        </w:rPr>
        <w:t>: Support: {{BANK_NIFTY_S1}}, {{BANK_NIFTY_S2}} | Resistance: {{BANK_NIFTY_R1}}, {{BANK_NIFTY_R2}}</w:t>
      </w:r>
    </w:p>
    <w:p w14:paraId="7DF4923C" w14:textId="5DF37B77" w:rsidR="000C5D1F" w:rsidRPr="00B517F4" w:rsidRDefault="00B517F4" w:rsidP="00B517F4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b/>
          <w:color w:val="000000"/>
        </w:rPr>
      </w:pPr>
      <w:r w:rsidRPr="00B517F4">
        <w:rPr>
          <w:b/>
          <w:i/>
          <w:iCs/>
          <w:color w:val="000000"/>
        </w:rPr>
        <w:t>Commentary</w:t>
      </w:r>
      <w:r w:rsidRPr="00B517F4">
        <w:rPr>
          <w:b/>
          <w:color w:val="000000"/>
        </w:rPr>
        <w:t>: {{TECHNICAL_INDICATORS_COMMENTARY}</w:t>
      </w:r>
      <w:r w:rsidRPr="00B517F4">
        <w:rPr>
          <w:b/>
          <w:color w:val="000000"/>
        </w:rPr>
        <w:t>}</w:t>
      </w:r>
    </w:p>
    <w:p w14:paraId="2A9B04C7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IX. Important News &amp; Events</w:t>
      </w:r>
    </w:p>
    <w:p w14:paraId="09C8C3C7" w14:textId="27477080" w:rsidR="00B517F4" w:rsidRPr="00B517F4" w:rsidRDefault="00B517F4" w:rsidP="00B517F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b/>
          <w:color w:val="000000"/>
        </w:rPr>
      </w:pPr>
      <w:r w:rsidRPr="00B517F4">
        <w:rPr>
          <w:b/>
          <w:bCs/>
          <w:color w:val="000000"/>
        </w:rPr>
        <w:t>Corporate Announcements</w:t>
      </w:r>
      <w:r w:rsidRPr="00B517F4">
        <w:rPr>
          <w:b/>
          <w:color w:val="000000"/>
        </w:rPr>
        <w:t>: {{CORPORATE_ANNOUNCEMENTS}}</w:t>
      </w:r>
    </w:p>
    <w:p w14:paraId="760B7139" w14:textId="222EA725" w:rsidR="00B517F4" w:rsidRPr="00B517F4" w:rsidRDefault="00B517F4" w:rsidP="00B517F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b/>
          <w:color w:val="000000"/>
        </w:rPr>
      </w:pPr>
      <w:r w:rsidRPr="00B517F4">
        <w:rPr>
          <w:b/>
          <w:bCs/>
          <w:color w:val="000000"/>
        </w:rPr>
        <w:t>Economic Data</w:t>
      </w:r>
      <w:r w:rsidRPr="00B517F4">
        <w:rPr>
          <w:b/>
          <w:color w:val="000000"/>
        </w:rPr>
        <w:t>: {{ECONOMIC_DATA}}</w:t>
      </w:r>
    </w:p>
    <w:p w14:paraId="30037FEF" w14:textId="6F5C9F44" w:rsidR="00B517F4" w:rsidRPr="00B517F4" w:rsidRDefault="00B517F4" w:rsidP="00B517F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b/>
          <w:color w:val="000000"/>
        </w:rPr>
      </w:pPr>
      <w:r w:rsidRPr="00B517F4">
        <w:rPr>
          <w:b/>
          <w:bCs/>
          <w:color w:val="000000"/>
        </w:rPr>
        <w:t>Regulatory Updates</w:t>
      </w:r>
      <w:r w:rsidRPr="00B517F4">
        <w:rPr>
          <w:b/>
          <w:color w:val="000000"/>
        </w:rPr>
        <w:t>: {{REGULATORY_UPDATES}}</w:t>
      </w:r>
    </w:p>
    <w:p w14:paraId="6F952006" w14:textId="489DF461" w:rsidR="000C5D1F" w:rsidRPr="00B517F4" w:rsidRDefault="00B517F4" w:rsidP="00B517F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b/>
          <w:color w:val="000000"/>
        </w:rPr>
      </w:pPr>
      <w:r w:rsidRPr="00B517F4">
        <w:rPr>
          <w:b/>
          <w:bCs/>
          <w:color w:val="000000"/>
        </w:rPr>
        <w:t>Upcoming Events</w:t>
      </w:r>
      <w:r w:rsidRPr="00B517F4">
        <w:rPr>
          <w:b/>
          <w:color w:val="000000"/>
        </w:rPr>
        <w:t>: {{UPCOMING_EVENTS}}</w:t>
      </w:r>
    </w:p>
    <w:p w14:paraId="46FA899B" w14:textId="77777777" w:rsidR="000C5D1F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X. Disclaimer</w:t>
      </w:r>
    </w:p>
    <w:p w14:paraId="147DC9DD" w14:textId="77777777" w:rsidR="000C5D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Standard disclaimer regarding investment risks and that the report is for informational purposes only.</w:t>
      </w:r>
    </w:p>
    <w:p w14:paraId="38B5F2DC" w14:textId="77777777" w:rsidR="000C5D1F" w:rsidRDefault="000C5D1F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sectPr w:rsidR="000C5D1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12EC6"/>
    <w:multiLevelType w:val="hybridMultilevel"/>
    <w:tmpl w:val="29282C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179C5"/>
    <w:multiLevelType w:val="hybridMultilevel"/>
    <w:tmpl w:val="34C6DD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F91C11"/>
    <w:multiLevelType w:val="hybridMultilevel"/>
    <w:tmpl w:val="E634D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A34450"/>
    <w:multiLevelType w:val="multilevel"/>
    <w:tmpl w:val="B1A4516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◦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61610A98"/>
    <w:multiLevelType w:val="hybridMultilevel"/>
    <w:tmpl w:val="25DA97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4D107C"/>
    <w:multiLevelType w:val="hybridMultilevel"/>
    <w:tmpl w:val="259ACA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381196">
    <w:abstractNumId w:val="3"/>
  </w:num>
  <w:num w:numId="2" w16cid:durableId="195001595">
    <w:abstractNumId w:val="1"/>
  </w:num>
  <w:num w:numId="3" w16cid:durableId="1789815314">
    <w:abstractNumId w:val="0"/>
  </w:num>
  <w:num w:numId="4" w16cid:durableId="1273705937">
    <w:abstractNumId w:val="4"/>
  </w:num>
  <w:num w:numId="5" w16cid:durableId="1052845325">
    <w:abstractNumId w:val="2"/>
  </w:num>
  <w:num w:numId="6" w16cid:durableId="9032977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D1F"/>
    <w:rsid w:val="000C5D1F"/>
    <w:rsid w:val="0019035B"/>
    <w:rsid w:val="00624D8E"/>
    <w:rsid w:val="00B51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C9445"/>
  <w15:docId w15:val="{AED12A63-8C23-4D6E-B299-7F8FD58D5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MdSpace">
    <w:name w:val="MdSpace"/>
    <w:basedOn w:val="Normal"/>
    <w:next w:val="Normal"/>
    <w:qFormat/>
    <w:rPr>
      <w:sz w:val="12"/>
      <w:szCs w:val="12"/>
    </w:rPr>
  </w:style>
  <w:style w:type="paragraph" w:customStyle="1" w:styleId="MdCode">
    <w:name w:val="MdCode"/>
    <w:basedOn w:val="Normal"/>
    <w:next w:val="Normal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basedOn w:val="Normal"/>
    <w:next w:val="Normal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basedOn w:val="Normal"/>
    <w:next w:val="Normal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basedOn w:val="Normal"/>
    <w:next w:val="Norma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basedOn w:val="Normal"/>
    <w:next w:val="Normal"/>
    <w:qFormat/>
    <w:pPr>
      <w:ind w:left="720" w:hanging="360"/>
    </w:pPr>
  </w:style>
  <w:style w:type="paragraph" w:customStyle="1" w:styleId="MdParagraph">
    <w:name w:val="MdParagraph"/>
    <w:basedOn w:val="Normal"/>
    <w:next w:val="Normal"/>
    <w:qFormat/>
    <w:pPr>
      <w:spacing w:before="120" w:after="120"/>
    </w:pPr>
  </w:style>
  <w:style w:type="paragraph" w:customStyle="1" w:styleId="MdText">
    <w:name w:val="MdText"/>
    <w:basedOn w:val="Normal"/>
    <w:next w:val="Normal"/>
    <w:qFormat/>
  </w:style>
  <w:style w:type="paragraph" w:customStyle="1" w:styleId="MdFootnote">
    <w:name w:val="MdFootnote"/>
    <w:basedOn w:val="Normal"/>
    <w:next w:val="Normal"/>
    <w:qFormat/>
    <w:rPr>
      <w:vertAlign w:val="superscript"/>
    </w:rPr>
  </w:style>
  <w:style w:type="paragraph" w:customStyle="1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customStyle="1" w:styleId="MdTable">
    <w:name w:val="MdTable"/>
    <w:basedOn w:val="Normal"/>
    <w:next w:val="Normal"/>
    <w:qFormat/>
    <w:pPr>
      <w:spacing w:before="60" w:after="60"/>
    </w:pPr>
  </w:style>
  <w:style w:type="paragraph" w:customStyle="1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624D8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24D8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8ri+VBmJLFkdEMF7wFGEql9KuQ==">CgMxLjA4AHIhMXZtVjV6S0tyZGdRZTU4d09YQ0x0cTNmcHVZZDhneEJD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md2docx converter</dc:creator>
  <cp:lastModifiedBy>Bhumi Vedant</cp:lastModifiedBy>
  <cp:revision>2</cp:revision>
  <dcterms:created xsi:type="dcterms:W3CDTF">2025-09-21T20:23:00Z</dcterms:created>
  <dcterms:modified xsi:type="dcterms:W3CDTF">2025-10-10T22:37:00Z</dcterms:modified>
</cp:coreProperties>
</file>