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Finance Department Knowledge Base</w:t>
      </w:r>
    </w:p>
    <w:p>
      <w:pPr>
        <w:spacing w:after="160"/>
      </w:pPr>
      <w:r>
        <w:t xml:space="preserve">Document Owner: Finance Operations Team | Version 1.4 | Last Updated: 2 August 2026</w:t>
      </w:r>
    </w:p>
    <w:p>
      <w:pPr>
        <w:pStyle w:val="Heading1"/>
      </w:pPr>
      <w:r>
        <w:t xml:space="preserve">1. Expense Claims</w:t>
      </w:r>
    </w:p>
    <w:p>
      <w:pPr>
        <w:spacing w:after="160"/>
      </w:pPr>
      <w:r>
        <w:t xml:space="preserve">All employee expense claims must be submitted through the ExpenseFlow portal within 30 days of the expense being incurred. Claims submitted after 30 days require written justification and approval from the Finance Controller.</w:t>
      </w:r>
    </w:p>
    <w:p>
      <w:pPr>
        <w:spacing w:after="160"/>
      </w:pPr>
      <w:r>
        <w:t xml:space="preserve">Each claim must include an itemized receipt for any expense over INR 500. Claims without receipts above this threshold will be automatically rejected by the system. Approved categories include: client meals, local travel (taxi/auto), office supplies, and professional subscriptions relevant to the employee's role.</w:t>
      </w:r>
    </w:p>
    <w:p>
      <w:pPr>
        <w:spacing w:after="160"/>
      </w:pPr>
      <w:r>
        <w:t xml:space="preserve">Approval workflow: claims under INR 5,000 require only direct manager approval. Claims between INR 5,000 and INR 25,000 require manager plus department head approval. Claims above INR 25,000 require additional Finance Controller sign-off.</w:t>
      </w:r>
    </w:p>
    <w:p>
      <w:pPr>
        <w:pStyle w:val="Heading1"/>
      </w:pPr>
      <w:r>
        <w:t xml:space="preserve">2. Travel Reimbursement</w:t>
      </w:r>
    </w:p>
    <w:p>
      <w:pPr>
        <w:spacing w:after="160"/>
      </w:pPr>
      <w:r>
        <w:t xml:space="preserve">Business travel must be booked through the corporate travel portal (TravelDesk) at least 5 business days in advance for domestic trips and 10 business days for international trips, except in cases of urgent client requirements.</w:t>
      </w:r>
    </w:p>
    <w:p>
      <w:pPr>
        <w:spacing w:after="160"/>
      </w:pPr>
      <w:r>
        <w:t xml:space="preserve">Per diem rates for meals and incidentals while traveling are INR 2,500/day for domestic travel and USD 60/day for international travel. Hotel accommodation should not exceed INR 8,000/night domestically without prior approval. Flights are booked in economy class; business class is permitted only for flights exceeding 6 hours, subject to VP-level approval.</w:t>
      </w:r>
    </w:p>
    <w:p>
      <w:pPr>
        <w:spacing w:after="160"/>
      </w:pPr>
      <w:r>
        <w:t xml:space="preserve">Reimbursement for travel expenses not covered by the corporate card must be claimed via ExpenseFlow within 15 days of trip completion, with boarding passes and hotel invoices attached.</w:t>
      </w:r>
    </w:p>
    <w:p>
      <w:pPr>
        <w:pStyle w:val="Heading1"/>
      </w:pPr>
      <w:r>
        <w:t xml:space="preserve">3. Invoice Process</w:t>
      </w:r>
    </w:p>
    <w:p>
      <w:pPr>
        <w:spacing w:after="160"/>
      </w:pPr>
      <w:r>
        <w:t xml:space="preserve">Vendor invoices must be submitted to accountspayable@acmecorp.com in PDF format, referencing a valid Purchase Order (PO) number. Invoices without a PO number will be routed to the requesting department for manual verification, adding an estimated 5 business days to processing time.</w:t>
      </w:r>
    </w:p>
    <w:p>
      <w:pPr>
        <w:spacing w:after="160"/>
      </w:pPr>
      <w:r>
        <w:t xml:space="preserve">Standard payment terms are Net 30 from the invoice date, unless otherwise negotiated in the vendor contract. Payment runs are processed twice a month, on the 5th and 20th. Urgent/early payment requests require Finance Controller approval and a documented business reason.</w:t>
      </w:r>
    </w:p>
    <w:p>
      <w:pPr>
        <w:spacing w:after="160"/>
      </w:pPr>
      <w:r>
        <w:t xml:space="preserve">Three-way matching is performed for all invoices above INR 50,000: the invoice, the PO, and the goods/services receipt confirmation must all align before payment is released.</w:t>
      </w:r>
    </w:p>
    <w:p>
      <w:pPr>
        <w:pStyle w:val="Heading1"/>
      </w:pPr>
      <w:r>
        <w:t xml:space="preserve">4. Company Reimbursements (General)</w:t>
      </w:r>
    </w:p>
    <w:p>
      <w:pPr>
        <w:spacing w:after="160"/>
      </w:pPr>
      <w:r>
        <w:t xml:space="preserve">Beyond travel and standard expenses, the company reimburses: approved professional certification fees (once per certification, up to INR 20,000), internet reimbursement for remote employees (up to INR 1,500/month), and relocation costs for approved transfers (case-by-case, requires HR and Finance joint approval).</w:t>
      </w:r>
    </w:p>
    <w:p>
      <w:pPr>
        <w:spacing w:after="160"/>
      </w:pPr>
      <w:r>
        <w:t xml:space="preserve">Reimbursement payments are disbursed via direct bank transfer within 7 business days of final approval. Employees can track claim status in real time on the ExpenseFlow dashboard.</w:t>
      </w:r>
    </w:p>
    <w:p>
      <w:pPr>
        <w:pStyle w:val="Heading1"/>
      </w:pPr>
      <w:r>
        <w:t xml:space="preserve">5. Finance Contact &amp; Escalation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c>
          <w:tcPr>
            <w:tcW w:type="dxa" w:w="2500"/>
            <w:shd w:fill="2B3A55" w:val="clear"/>
          </w:tcPr>
          <w:p>
            <w:r>
              <w:rPr>
                <w:b/>
                <w:bCs/>
                <w:color w:val="FFFFFF"/>
              </w:rPr>
              <w:t xml:space="preserve">Query Type</w:t>
            </w:r>
          </w:p>
        </w:tc>
        <w:tc>
          <w:tcPr>
            <w:tcW w:type="dxa" w:w="2500"/>
            <w:shd w:fill="2B3A55" w:val="clear"/>
          </w:tcPr>
          <w:p>
            <w:r>
              <w:rPr>
                <w:b/>
                <w:bCs/>
                <w:color w:val="FFFFFF"/>
              </w:rPr>
              <w:t xml:space="preserve">Contact</w:t>
            </w:r>
          </w:p>
        </w:tc>
        <w:tc>
          <w:tcPr>
            <w:tcW w:type="dxa" w:w="2500"/>
            <w:shd w:fill="2B3A55" w:val="clear"/>
          </w:tcPr>
          <w:p>
            <w:r>
              <w:rPr>
                <w:b/>
                <w:bCs/>
                <w:color w:val="FFFFFF"/>
              </w:rPr>
              <w:t xml:space="preserve">Typical SLA</w:t>
            </w:r>
          </w:p>
        </w:tc>
      </w:tr>
      <w:tr>
        <w:tc>
          <w:tcPr>
            <w:tcW w:type="dxa" w:w="2500"/>
          </w:tcPr>
          <w:p>
            <w:r>
              <w:rPr>
                <w:b w:val="false"/>
                <w:bCs w:val="false"/>
                <w:color w:val="000000"/>
              </w:rPr>
              <w:t xml:space="preserve">Expense claim status</w:t>
            </w:r>
          </w:p>
        </w:tc>
        <w:tc>
          <w:tcPr>
            <w:tcW w:type="dxa" w:w="2500"/>
          </w:tcPr>
          <w:p>
            <w:r>
              <w:rPr>
                <w:b w:val="false"/>
                <w:bCs w:val="false"/>
                <w:color w:val="000000"/>
              </w:rPr>
              <w:t xml:space="preserve">expenseflow-support@acmecorp.com</w:t>
            </w:r>
          </w:p>
        </w:tc>
        <w:tc>
          <w:tcPr>
            <w:tcW w:type="dxa" w:w="2500"/>
          </w:tcPr>
          <w:p>
            <w:r>
              <w:rPr>
                <w:b w:val="false"/>
                <w:bCs w:val="false"/>
                <w:color w:val="000000"/>
              </w:rPr>
              <w:t xml:space="preserve">2 business days</w:t>
            </w:r>
          </w:p>
        </w:tc>
      </w:tr>
      <w:tr>
        <w:tc>
          <w:tcPr>
            <w:tcW w:type="dxa" w:w="2500"/>
          </w:tcPr>
          <w:p>
            <w:r>
              <w:rPr>
                <w:b w:val="false"/>
                <w:bCs w:val="false"/>
                <w:color w:val="000000"/>
              </w:rPr>
              <w:t xml:space="preserve">Invoice / PO issues</w:t>
            </w:r>
          </w:p>
        </w:tc>
        <w:tc>
          <w:tcPr>
            <w:tcW w:type="dxa" w:w="2500"/>
          </w:tcPr>
          <w:p>
            <w:r>
              <w:rPr>
                <w:b w:val="false"/>
                <w:bCs w:val="false"/>
                <w:color w:val="000000"/>
              </w:rPr>
              <w:t xml:space="preserve">accountspayable@acmecorp.com</w:t>
            </w:r>
          </w:p>
        </w:tc>
        <w:tc>
          <w:tcPr>
            <w:tcW w:type="dxa" w:w="2500"/>
          </w:tcPr>
          <w:p>
            <w:r>
              <w:rPr>
                <w:b w:val="false"/>
                <w:bCs w:val="false"/>
                <w:color w:val="000000"/>
              </w:rPr>
              <w:t xml:space="preserve">3-5 business days</w:t>
            </w:r>
          </w:p>
        </w:tc>
      </w:tr>
      <w:tr>
        <w:tc>
          <w:tcPr>
            <w:tcW w:type="dxa" w:w="2500"/>
          </w:tcPr>
          <w:p>
            <w:r>
              <w:rPr>
                <w:b w:val="false"/>
                <w:bCs w:val="false"/>
                <w:color w:val="000000"/>
              </w:rPr>
              <w:t xml:space="preserve">Travel booking issues</w:t>
            </w:r>
          </w:p>
        </w:tc>
        <w:tc>
          <w:tcPr>
            <w:tcW w:type="dxa" w:w="2500"/>
          </w:tcPr>
          <w:p>
            <w:r>
              <w:rPr>
                <w:b w:val="false"/>
                <w:bCs w:val="false"/>
                <w:color w:val="000000"/>
              </w:rPr>
              <w:t xml:space="preserve">traveldesk@acmecorp.com</w:t>
            </w:r>
          </w:p>
        </w:tc>
        <w:tc>
          <w:tcPr>
            <w:tcW w:type="dxa" w:w="2500"/>
          </w:tcPr>
          <w:p>
            <w:r>
              <w:rPr>
                <w:b w:val="false"/>
                <w:bCs w:val="false"/>
                <w:color w:val="000000"/>
              </w:rPr>
              <w:t xml:space="preserve">1 business day</w:t>
            </w:r>
          </w:p>
        </w:tc>
      </w:tr>
      <w:tr>
        <w:tc>
          <w:tcPr>
            <w:tcW w:type="dxa" w:w="2500"/>
          </w:tcPr>
          <w:p>
            <w:r>
              <w:rPr>
                <w:b w:val="false"/>
                <w:bCs w:val="false"/>
                <w:color w:val="000000"/>
              </w:rPr>
              <w:t xml:space="preserve">Escalations / disputes</w:t>
            </w:r>
          </w:p>
        </w:tc>
        <w:tc>
          <w:tcPr>
            <w:tcW w:type="dxa" w:w="2500"/>
          </w:tcPr>
          <w:p>
            <w:r>
              <w:rPr>
                <w:b w:val="false"/>
                <w:bCs w:val="false"/>
                <w:color w:val="000000"/>
              </w:rPr>
              <w:t xml:space="preserve">finance-escalations@acmecorp.com</w:t>
            </w:r>
          </w:p>
        </w:tc>
        <w:tc>
          <w:tcPr>
            <w:tcW w:type="dxa" w:w="2500"/>
          </w:tcPr>
          <w:p>
            <w:r>
              <w:rPr>
                <w:b w:val="false"/>
                <w:bCs w:val="false"/>
                <w:color w:val="000000"/>
              </w:rPr>
              <w:t xml:space="preserve">5 business days</w:t>
            </w:r>
          </w:p>
        </w:tc>
      </w:tr>
    </w:tbl>
    <w:p>
      <w:pPr>
        <w:spacing w:before="200"/>
      </w:pPr>
    </w:p>
    <w:p>
      <w:pPr>
        <w:spacing w:after="160"/>
      </w:pPr>
      <w:r>
        <w:t xml:space="preserve">Finance Operations is available Monday-Friday, 9:00 AM - 6:00 PM IST. The Finance helpdesk does not process requests on public holidays; see the HR holiday calendar for the current list of observed holidays.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2026-08-11T19:00:06.880Z</dcterms:created>
  <dcterms:modified xsi:type="dcterms:W3CDTF">2026-08-11T19:00:06.895Z</dcterms:modified>
</cp:coreProperties>
</file>

<file path=docProps/custom.xml><?xml version="1.0" encoding="utf-8"?>
<Properties xmlns="http://schemas.openxmlformats.org/officeDocument/2006/custom-properties" xmlns:vt="http://schemas.openxmlformats.org/officeDocument/2006/docPropsVTypes"/>
</file>