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8"/>
          <w:szCs w:val="38"/>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Functional Test  Report for Inji certify v0.10.0</w:t>
      </w:r>
    </w:p>
    <w:p w:rsidR="00000000" w:rsidDel="00000000" w:rsidP="00000000" w:rsidRDefault="00000000" w:rsidRPr="00000000" w14:paraId="0000000B">
      <w:pPr>
        <w:jc w:val="center"/>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29-01-2025</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rFonts w:ascii="Calibri" w:cs="Calibri" w:eastAsia="Calibri" w:hAnsi="Calibri"/>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Health</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execution statistics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 results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Automation Statistics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iztkm1s7o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Tested with Components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1"/>
        <w:rPr>
          <w:rFonts w:ascii="Calibri" w:cs="Calibri" w:eastAsia="Calibri" w:hAnsi="Calibri"/>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Testing Scope</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scope of testing is to verify fitment to the specification from the perspective of  </w:t>
      </w:r>
    </w:p>
    <w:p w:rsidR="00000000" w:rsidDel="00000000" w:rsidP="00000000" w:rsidRDefault="00000000" w:rsidRPr="00000000" w14:paraId="00000019">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Functionality  </w:t>
      </w:r>
    </w:p>
    <w:p w:rsidR="00000000" w:rsidDel="00000000" w:rsidP="00000000" w:rsidRDefault="00000000" w:rsidRPr="00000000" w14:paraId="0000001A">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Deployability  </w:t>
      </w:r>
    </w:p>
    <w:p w:rsidR="00000000" w:rsidDel="00000000" w:rsidP="00000000" w:rsidRDefault="00000000" w:rsidRPr="00000000" w14:paraId="0000001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Configurability  </w:t>
      </w:r>
    </w:p>
    <w:p w:rsidR="00000000" w:rsidDel="00000000" w:rsidP="00000000" w:rsidRDefault="00000000" w:rsidRPr="00000000" w14:paraId="0000001C">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Customizability</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Testing scope has been focused around the below features:</w:t>
        <w:br w:type="textWrapping"/>
      </w:r>
    </w:p>
    <w:p w:rsidR="00000000" w:rsidDel="00000000" w:rsidP="00000000" w:rsidRDefault="00000000" w:rsidRPr="00000000" w14:paraId="00000021">
      <w:pPr>
        <w:numPr>
          <w:ilvl w:val="0"/>
          <w:numId w:val="4"/>
        </w:numPr>
        <w:ind w:left="720" w:hanging="360"/>
        <w:jc w:val="both"/>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highlight w:val="white"/>
          <w:rtl w:val="0"/>
        </w:rPr>
        <w:t xml:space="preserve">Inji certify Docker compose testing(Data provider plugin(csv), mdoc mdl) </w:t>
      </w:r>
      <w:r w:rsidDel="00000000" w:rsidR="00000000" w:rsidRPr="00000000">
        <w:rPr>
          <w:rtl w:val="0"/>
        </w:rPr>
      </w:r>
    </w:p>
    <w:p w:rsidR="00000000" w:rsidDel="00000000" w:rsidP="00000000" w:rsidRDefault="00000000" w:rsidRPr="00000000" w14:paraId="00000022">
      <w:pPr>
        <w:numPr>
          <w:ilvl w:val="0"/>
          <w:numId w:val="4"/>
        </w:numPr>
        <w:ind w:left="720" w:hanging="360"/>
        <w:jc w:val="both"/>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Docker compose testing for Mock Data Provider plugin (csv), Framer use case – 1.1 &amp; 2.0 VC</w:t>
      </w:r>
    </w:p>
    <w:p w:rsidR="00000000" w:rsidDel="00000000" w:rsidP="00000000" w:rsidRDefault="00000000" w:rsidRPr="00000000" w14:paraId="00000023">
      <w:pPr>
        <w:numPr>
          <w:ilvl w:val="0"/>
          <w:numId w:val="4"/>
        </w:numPr>
        <w:ind w:left="720" w:hanging="360"/>
        <w:jc w:val="both"/>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Inji certify - Insurance use case using namespace (VC issuance plugin) – 1.1 VC</w:t>
      </w:r>
    </w:p>
    <w:p w:rsidR="00000000" w:rsidDel="00000000" w:rsidP="00000000" w:rsidRDefault="00000000" w:rsidRPr="00000000" w14:paraId="00000024">
      <w:pPr>
        <w:numPr>
          <w:ilvl w:val="0"/>
          <w:numId w:val="4"/>
        </w:numPr>
        <w:ind w:left="720" w:hanging="360"/>
        <w:jc w:val="both"/>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Inji certify - Mock IDA use case using namespace (Data provider plugin(Postgres)) – 1.1 &amp; 2.0 VC</w:t>
      </w:r>
    </w:p>
    <w:p w:rsidR="00000000" w:rsidDel="00000000" w:rsidP="00000000" w:rsidRDefault="00000000" w:rsidRPr="00000000" w14:paraId="00000025">
      <w:pPr>
        <w:numPr>
          <w:ilvl w:val="0"/>
          <w:numId w:val="4"/>
        </w:numPr>
        <w:ind w:left="720" w:hanging="360"/>
        <w:jc w:val="both"/>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Inji certify - MOSIP ID use case using namespace (VC issuance plugin) – 1.1 VC</w:t>
      </w:r>
    </w:p>
    <w:p w:rsidR="00000000" w:rsidDel="00000000" w:rsidP="00000000" w:rsidRDefault="00000000" w:rsidRPr="00000000" w14:paraId="00000026">
      <w:pPr>
        <w:numPr>
          <w:ilvl w:val="0"/>
          <w:numId w:val="4"/>
        </w:numPr>
        <w:ind w:left="720" w:hanging="360"/>
        <w:jc w:val="both"/>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Integration with INJI Web – Limited to download only 1.1 VC</w:t>
      </w:r>
    </w:p>
    <w:p w:rsidR="00000000" w:rsidDel="00000000" w:rsidP="00000000" w:rsidRDefault="00000000" w:rsidRPr="00000000" w14:paraId="00000027">
      <w:pPr>
        <w:ind w:left="720" w:firstLine="0"/>
        <w:jc w:val="both"/>
        <w:rPr>
          <w:rFonts w:ascii="Calibri" w:cs="Calibri" w:eastAsia="Calibri" w:hAnsi="Calibri"/>
          <w:color w:val="1d1c1d"/>
          <w:sz w:val="24"/>
          <w:szCs w:val="24"/>
          <w:highlight w:val="white"/>
        </w:rPr>
      </w:pPr>
      <w:r w:rsidDel="00000000" w:rsidR="00000000" w:rsidRPr="00000000">
        <w:rPr>
          <w:rtl w:val="0"/>
        </w:rPr>
      </w:r>
    </w:p>
    <w:p w:rsidR="00000000" w:rsidDel="00000000" w:rsidP="00000000" w:rsidRDefault="00000000" w:rsidRPr="00000000" w14:paraId="00000028">
      <w:pPr>
        <w:spacing w:after="240" w:before="240" w:line="240" w:lineRule="auto"/>
        <w:jc w:val="both"/>
        <w:rPr>
          <w:rFonts w:ascii="Calibri" w:cs="Calibri" w:eastAsia="Calibri" w:hAnsi="Calibri"/>
          <w:color w:val="1d1c1d"/>
          <w:sz w:val="24"/>
          <w:szCs w:val="24"/>
          <w:highlight w:val="white"/>
        </w:rPr>
      </w:pPr>
      <w:bookmarkStart w:colFirst="0" w:colLast="0" w:name="_heading=h.2et92p0" w:id="4"/>
      <w:bookmarkEnd w:id="4"/>
      <w:r w:rsidDel="00000000" w:rsidR="00000000" w:rsidRPr="00000000">
        <w:rPr>
          <w:rFonts w:ascii="Calibri" w:cs="Calibri" w:eastAsia="Calibri" w:hAnsi="Calibri"/>
          <w:sz w:val="24"/>
          <w:szCs w:val="24"/>
          <w:rtl w:val="0"/>
        </w:rPr>
        <w:t xml:space="preserve">Test Approach</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2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2C">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Functionality  </w:t>
      </w:r>
    </w:p>
    <w:p w:rsidR="00000000" w:rsidDel="00000000" w:rsidP="00000000" w:rsidRDefault="00000000" w:rsidRPr="00000000" w14:paraId="0000002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Deployability  </w:t>
      </w:r>
    </w:p>
    <w:p w:rsidR="00000000" w:rsidDel="00000000" w:rsidP="00000000" w:rsidRDefault="00000000" w:rsidRPr="00000000" w14:paraId="0000002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Configurability  </w:t>
      </w:r>
    </w:p>
    <w:p w:rsidR="00000000" w:rsidDel="00000000" w:rsidP="00000000" w:rsidRDefault="00000000" w:rsidRPr="00000000" w14:paraId="0000002F">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Customizability</w:t>
      </w:r>
    </w:p>
    <w:p w:rsidR="00000000" w:rsidDel="00000000" w:rsidP="00000000" w:rsidRDefault="00000000" w:rsidRPr="00000000" w14:paraId="0000003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verification methods may differ based on how the need was addressed. </w:t>
      </w:r>
    </w:p>
    <w:p w:rsidR="00000000" w:rsidDel="00000000" w:rsidP="00000000" w:rsidRDefault="00000000" w:rsidRPr="00000000" w14:paraId="00000032">
      <w:pPr>
        <w:pStyle w:val="Heading1"/>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Verified configuration </w:t>
      </w:r>
    </w:p>
    <w:p w:rsidR="00000000" w:rsidDel="00000000" w:rsidP="00000000" w:rsidRDefault="00000000" w:rsidRPr="00000000" w14:paraId="00000033">
      <w:pPr>
        <w:widowControl w:val="0"/>
        <w:spacing w:after="320" w:lineRule="auto"/>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Verification is performed on configurations as mentioned below </w:t>
      </w:r>
    </w:p>
    <w:p w:rsidR="00000000" w:rsidDel="00000000" w:rsidP="00000000" w:rsidRDefault="00000000" w:rsidRPr="00000000" w14:paraId="00000034">
      <w:pPr>
        <w:widowControl w:val="0"/>
        <w:numPr>
          <w:ilvl w:val="0"/>
          <w:numId w:val="6"/>
        </w:numPr>
        <w:ind w:left="720" w:hanging="360"/>
        <w:rPr>
          <w:rFonts w:ascii="Calibri" w:cs="Calibri" w:eastAsia="Calibri" w:hAnsi="Calibri"/>
        </w:rPr>
      </w:pPr>
      <w:r w:rsidDel="00000000" w:rsidR="00000000" w:rsidRPr="00000000">
        <w:rPr>
          <w:rFonts w:ascii="Calibri" w:cs="Calibri" w:eastAsia="Calibri" w:hAnsi="Calibri"/>
          <w:color w:val="1d1c1d"/>
          <w:sz w:val="24"/>
          <w:szCs w:val="24"/>
          <w:highlight w:val="white"/>
          <w:rtl w:val="0"/>
        </w:rPr>
        <w:t xml:space="preserve">Default configuration </w:t>
      </w:r>
      <w:r w:rsidDel="00000000" w:rsidR="00000000" w:rsidRPr="00000000">
        <w:rPr>
          <w:rtl w:val="0"/>
        </w:rPr>
      </w:r>
    </w:p>
    <w:p w:rsidR="00000000" w:rsidDel="00000000" w:rsidP="00000000" w:rsidRDefault="00000000" w:rsidRPr="00000000" w14:paraId="00000035">
      <w:pPr>
        <w:widowControl w:val="0"/>
        <w:numPr>
          <w:ilvl w:val="1"/>
          <w:numId w:val="6"/>
        </w:numPr>
        <w:ind w:left="1440" w:hanging="360"/>
        <w:rPr>
          <w:rFonts w:ascii="Calibri" w:cs="Calibri" w:eastAsia="Calibri" w:hAnsi="Calibri"/>
        </w:rPr>
      </w:pPr>
      <w:r w:rsidDel="00000000" w:rsidR="00000000" w:rsidRPr="00000000">
        <w:rPr>
          <w:rFonts w:ascii="Calibri" w:cs="Calibri" w:eastAsia="Calibri" w:hAnsi="Calibri"/>
          <w:color w:val="1d1c1d"/>
          <w:sz w:val="24"/>
          <w:szCs w:val="24"/>
          <w:highlight w:val="white"/>
          <w:rtl w:val="0"/>
        </w:rPr>
        <w:t xml:space="preserve">English</w:t>
      </w:r>
      <w:r w:rsidDel="00000000" w:rsidR="00000000" w:rsidRPr="00000000">
        <w:rPr>
          <w:rtl w:val="0"/>
        </w:rPr>
      </w:r>
    </w:p>
    <w:p w:rsidR="00000000" w:rsidDel="00000000" w:rsidP="00000000" w:rsidRDefault="00000000" w:rsidRPr="00000000" w14:paraId="00000036">
      <w:pPr>
        <w:widowControl w:val="0"/>
        <w:rPr>
          <w:rFonts w:ascii="Calibri" w:cs="Calibri" w:eastAsia="Calibri" w:hAnsi="Calibri"/>
          <w:color w:val="1d1c1d"/>
          <w:sz w:val="24"/>
          <w:szCs w:val="24"/>
          <w:highlight w:val="white"/>
        </w:rPr>
      </w:pPr>
      <w:r w:rsidDel="00000000" w:rsidR="00000000" w:rsidRPr="00000000">
        <w:rPr>
          <w:rtl w:val="0"/>
        </w:rPr>
      </w:r>
    </w:p>
    <w:p w:rsidR="00000000" w:rsidDel="00000000" w:rsidP="00000000" w:rsidRDefault="00000000" w:rsidRPr="00000000" w14:paraId="00000037">
      <w:pPr>
        <w:pStyle w:val="Heading1"/>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Feature Health</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119813" cy="4419600"/>
            <wp:effectExtent b="0" l="0" r="0" t="0"/>
            <wp:docPr descr="Chart" id="2"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6119813"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 </w:t>
      </w:r>
    </w:p>
    <w:p w:rsidR="00000000" w:rsidDel="00000000" w:rsidP="00000000" w:rsidRDefault="00000000" w:rsidRPr="00000000" w14:paraId="0000003D">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Docker setup – Authorization endpoints pointing to </w:t>
      </w:r>
      <w:r w:rsidDel="00000000" w:rsidR="00000000" w:rsidRPr="00000000">
        <w:rPr>
          <w:rFonts w:ascii="Calibri" w:cs="Calibri" w:eastAsia="Calibri" w:hAnsi="Calibri"/>
          <w:b w:val="1"/>
          <w:sz w:val="24"/>
          <w:szCs w:val="24"/>
          <w:rtl w:val="0"/>
        </w:rPr>
        <w:t xml:space="preserve">collab.mosip.net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Postgres plugin - In Qa-inji1 env, authorization endpoints pointing to </w:t>
      </w:r>
      <w:r w:rsidDel="00000000" w:rsidR="00000000" w:rsidRPr="00000000">
        <w:rPr>
          <w:rFonts w:ascii="Calibri" w:cs="Calibri" w:eastAsia="Calibri" w:hAnsi="Calibri"/>
          <w:b w:val="1"/>
          <w:sz w:val="24"/>
          <w:szCs w:val="24"/>
          <w:rtl w:val="0"/>
        </w:rPr>
        <w:t xml:space="preserve">released.mosip.net</w:t>
      </w:r>
      <w:r w:rsidDel="00000000" w:rsidR="00000000" w:rsidRPr="00000000">
        <w:rPr>
          <w:rFonts w:ascii="Calibri" w:cs="Calibri" w:eastAsia="Calibri" w:hAnsi="Calibri"/>
          <w:sz w:val="24"/>
          <w:szCs w:val="24"/>
          <w:rtl w:val="0"/>
        </w:rPr>
        <w:t xml:space="preserve"> and manual changes must be done in DB to fetch VC (as mock identity image in released env in </w:t>
      </w:r>
      <w:r w:rsidDel="00000000" w:rsidR="00000000" w:rsidRPr="00000000">
        <w:rPr>
          <w:b w:val="1"/>
          <w:color w:val="141419"/>
          <w:sz w:val="21"/>
          <w:szCs w:val="21"/>
          <w:rtl w:val="0"/>
        </w:rPr>
        <w:t xml:space="preserve">mosipid/mock-identity-system:0.9.3</w:t>
      </w:r>
      <w:r w:rsidDel="00000000" w:rsidR="00000000" w:rsidRPr="00000000">
        <w:rPr>
          <w:rFonts w:ascii="Calibri" w:cs="Calibri" w:eastAsia="Calibri" w:hAnsi="Calibri"/>
          <w:sz w:val="24"/>
          <w:szCs w:val="24"/>
          <w:rtl w:val="0"/>
        </w:rPr>
        <w:t xml:space="preserve"> but data provider supports 0.10.x version of mock-identity service) - Update PSUT value of individual id and data type limitations for the same column</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1"/>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Test execution statistics </w:t>
      </w:r>
    </w:p>
    <w:p w:rsidR="00000000" w:rsidDel="00000000" w:rsidP="00000000" w:rsidRDefault="00000000" w:rsidRPr="00000000" w14:paraId="00000041">
      <w:pPr>
        <w:pStyle w:val="Heading2"/>
        <w:rPr>
          <w:rFonts w:ascii="Calibri" w:cs="Calibri" w:eastAsia="Calibri" w:hAnsi="Calibri"/>
          <w:sz w:val="24"/>
          <w:szCs w:val="24"/>
        </w:rPr>
      </w:pPr>
      <w:bookmarkStart w:colFirst="0" w:colLast="0" w:name="_heading=h.4d34og8" w:id="8"/>
      <w:bookmarkEnd w:id="8"/>
      <w:r w:rsidDel="00000000" w:rsidR="00000000" w:rsidRPr="00000000">
        <w:rPr>
          <w:rFonts w:ascii="Calibri" w:cs="Calibri" w:eastAsia="Calibri" w:hAnsi="Calibri"/>
          <w:sz w:val="24"/>
          <w:szCs w:val="24"/>
          <w:rtl w:val="0"/>
        </w:rPr>
        <w:t xml:space="preserve">Functional test results</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are the test metrics by performing functional testing. The process followed was black box testing which based its test cases on the specifications of the software component under test.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configurations. The testing cycle included simulation of multiple identity schema and respective UI schema configurations.</w:t>
      </w:r>
    </w:p>
    <w:p w:rsidR="00000000" w:rsidDel="00000000" w:rsidP="00000000" w:rsidRDefault="00000000" w:rsidRPr="00000000" w14:paraId="00000043">
      <w:pPr>
        <w:jc w:val="center"/>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565</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527</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Rate: 100%, With Pass Rate: 93% and Fail Rate : 6%</w:t>
            </w:r>
          </w:p>
        </w:tc>
      </w:tr>
    </w:tbl>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pStyle w:val="Heading2"/>
        <w:rPr>
          <w:rFonts w:ascii="Calibri" w:cs="Calibri" w:eastAsia="Calibri" w:hAnsi="Calibri"/>
          <w:sz w:val="24"/>
          <w:szCs w:val="24"/>
        </w:rPr>
      </w:pPr>
      <w:bookmarkStart w:colFirst="0" w:colLast="0" w:name="_heading=h.2s8eyo1" w:id="9"/>
      <w:bookmarkEnd w:id="9"/>
      <w:r w:rsidDel="00000000" w:rsidR="00000000" w:rsidRPr="00000000">
        <w:rPr>
          <w:rFonts w:ascii="Calibri" w:cs="Calibri" w:eastAsia="Calibri" w:hAnsi="Calibri"/>
          <w:sz w:val="24"/>
          <w:szCs w:val="24"/>
          <w:rtl w:val="0"/>
        </w:rPr>
        <w:t xml:space="preserve">Automation Statistics </w:t>
      </w:r>
    </w:p>
    <w:p w:rsidR="00000000" w:rsidDel="00000000" w:rsidP="00000000" w:rsidRDefault="00000000" w:rsidRPr="00000000" w14:paraId="0000005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Sunbird usecase</w:t>
      </w:r>
      <w:r w:rsidDel="00000000" w:rsidR="00000000" w:rsidRPr="00000000">
        <w:rPr>
          <w:rtl w:val="0"/>
        </w:rPr>
      </w:r>
    </w:p>
    <w:p w:rsidR="00000000" w:rsidDel="00000000" w:rsidP="00000000" w:rsidRDefault="00000000" w:rsidRPr="00000000" w14:paraId="00000053">
      <w:pPr>
        <w:jc w:val="center"/>
        <w:rPr>
          <w:rFonts w:ascii="Calibri" w:cs="Calibri" w:eastAsia="Calibri" w:hAnsi="Calibri"/>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Ignored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129</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Rate: 100%, With Pass Rate: 96% and Fail Rate : 3.8%</w:t>
            </w:r>
          </w:p>
        </w:tc>
      </w:tr>
    </w:tbl>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Failures are known issues can be tracked in INJICERT-681</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Mock Usecase</w:t>
      </w:r>
    </w:p>
    <w:p w:rsidR="00000000" w:rsidDel="00000000" w:rsidP="00000000" w:rsidRDefault="00000000" w:rsidRPr="00000000" w14:paraId="00000064">
      <w:pPr>
        <w:jc w:val="center"/>
        <w:rPr>
          <w:rFonts w:ascii="Calibri" w:cs="Calibri" w:eastAsia="Calibri" w:hAnsi="Calibri"/>
          <w:sz w:val="25"/>
          <w:szCs w:val="25"/>
        </w:rPr>
      </w:pPr>
      <w:r w:rsidDel="00000000" w:rsidR="00000000" w:rsidRPr="00000000">
        <w:rPr>
          <w:rtl w:val="0"/>
        </w:rPr>
      </w:r>
    </w:p>
    <w:sdt>
      <w:sdtPr>
        <w:lock w:val="contentLocked"/>
        <w:tag w:val="goog_rdk_0"/>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Ignored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129</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88</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Rate: 100%, With Pass Rate: 100% and Fail Rate : 0%</w:t>
                </w:r>
              </w:p>
            </w:tc>
          </w:tr>
        </w:tbl>
      </w:sdtContent>
    </w:sdt>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Ignored scenarios are Not related to particular use case</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Mosipid Usecase</w:t>
      </w:r>
    </w:p>
    <w:p w:rsidR="00000000" w:rsidDel="00000000" w:rsidP="00000000" w:rsidRDefault="00000000" w:rsidRPr="00000000" w14:paraId="00000075">
      <w:pPr>
        <w:jc w:val="center"/>
        <w:rPr>
          <w:rFonts w:ascii="Calibri" w:cs="Calibri" w:eastAsia="Calibri" w:hAnsi="Calibri"/>
          <w:sz w:val="24"/>
          <w:szCs w:val="24"/>
        </w:rPr>
      </w:pPr>
      <w:r w:rsidDel="00000000" w:rsidR="00000000" w:rsidRPr="00000000">
        <w:rPr>
          <w:rtl w:val="0"/>
        </w:rPr>
      </w:r>
    </w:p>
    <w:sdt>
      <w:sdtPr>
        <w:lock w:val="contentLocked"/>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Ignored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129</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Rate: 100%, With Pass Rate: 100% and Fail Rate : 0%</w:t>
                </w:r>
              </w:p>
            </w:tc>
          </w:tr>
        </w:tbl>
      </w:sdtContent>
    </w:sdt>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Ignored scenarios are Not related to particular use case </w:t>
      </w:r>
      <w:r w:rsidDel="00000000" w:rsidR="00000000" w:rsidRPr="00000000">
        <w:rPr>
          <w:rtl w:val="0"/>
        </w:rPr>
      </w:r>
    </w:p>
    <w:p w:rsidR="00000000" w:rsidDel="00000000" w:rsidP="00000000" w:rsidRDefault="00000000" w:rsidRPr="00000000" w14:paraId="00000084">
      <w:pPr>
        <w:pStyle w:val="Heading2"/>
        <w:rPr>
          <w:rFonts w:ascii="Calibri" w:cs="Calibri" w:eastAsia="Calibri" w:hAnsi="Calibri"/>
        </w:rPr>
      </w:pPr>
      <w:bookmarkStart w:colFirst="0" w:colLast="0" w:name="_heading=h.qiztkm1s7ooc" w:id="10"/>
      <w:bookmarkEnd w:id="10"/>
      <w:r w:rsidDel="00000000" w:rsidR="00000000" w:rsidRPr="00000000">
        <w:rPr>
          <w:rFonts w:ascii="Calibri" w:cs="Calibri" w:eastAsia="Calibri" w:hAnsi="Calibri"/>
          <w:rtl w:val="0"/>
        </w:rPr>
        <w:t xml:space="preserve">Detailed Test metrics</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86">
      <w:pPr>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87">
      <w:pPr>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The various metrics that assist in test tracking and efficiency are as follows:</w:t>
      </w:r>
    </w:p>
    <w:p w:rsidR="00000000" w:rsidDel="00000000" w:rsidP="00000000" w:rsidRDefault="00000000" w:rsidRPr="00000000" w14:paraId="00000088">
      <w:pPr>
        <w:rPr>
          <w:rFonts w:ascii="Calibri" w:cs="Calibri" w:eastAsia="Calibri" w:hAnsi="Calibri"/>
          <w:color w:val="1d1c1d"/>
          <w:sz w:val="24"/>
          <w:szCs w:val="24"/>
          <w:highlight w:val="white"/>
        </w:rPr>
      </w:pPr>
      <w:r w:rsidDel="00000000" w:rsidR="00000000" w:rsidRPr="00000000">
        <w:rPr>
          <w:rtl w:val="0"/>
        </w:rPr>
      </w:r>
    </w:p>
    <w:p w:rsidR="00000000" w:rsidDel="00000000" w:rsidP="00000000" w:rsidRDefault="00000000" w:rsidRPr="00000000" w14:paraId="00000089">
      <w:pPr>
        <w:numPr>
          <w:ilvl w:val="0"/>
          <w:numId w:val="2"/>
        </w:numPr>
        <w:shd w:fill="ffffff" w:val="clear"/>
        <w:spacing w:line="384"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1d1c1d"/>
          <w:sz w:val="24"/>
          <w:szCs w:val="24"/>
          <w:highlight w:val="white"/>
          <w:rtl w:val="0"/>
        </w:rPr>
        <w:t xml:space="preserve">Passed Test Cases Coverage: It measures the percentage of passed test cases. (Number of passed tests / Total number of tests executed) x 100</w:t>
      </w:r>
      <w:r w:rsidDel="00000000" w:rsidR="00000000" w:rsidRPr="00000000">
        <w:rPr>
          <w:rtl w:val="0"/>
        </w:rPr>
      </w:r>
    </w:p>
    <w:p w:rsidR="00000000" w:rsidDel="00000000" w:rsidP="00000000" w:rsidRDefault="00000000" w:rsidRPr="00000000" w14:paraId="0000008A">
      <w:pPr>
        <w:numPr>
          <w:ilvl w:val="0"/>
          <w:numId w:val="2"/>
        </w:numPr>
        <w:shd w:fill="ffffff" w:val="clear"/>
        <w:spacing w:line="384"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1d1c1d"/>
          <w:sz w:val="24"/>
          <w:szCs w:val="24"/>
          <w:highlight w:val="white"/>
          <w:rtl w:val="0"/>
        </w:rPr>
        <w:t xml:space="preserve">Failed Test Case Coverage: It measures the percentage of all the failed test cases. (Number of failed tests / Total number of test cases executed) x 100</w:t>
      </w:r>
      <w:r w:rsidDel="00000000" w:rsidR="00000000" w:rsidRPr="00000000">
        <w:rPr>
          <w:rtl w:val="0"/>
        </w:rPr>
      </w:r>
    </w:p>
    <w:p w:rsidR="00000000" w:rsidDel="00000000" w:rsidP="00000000" w:rsidRDefault="00000000" w:rsidRPr="00000000" w14:paraId="0000008B">
      <w:pPr>
        <w:pStyle w:val="Heading1"/>
        <w:rPr>
          <w:rFonts w:ascii="Calibri" w:cs="Calibri" w:eastAsia="Calibri" w:hAnsi="Calibri"/>
        </w:rPr>
      </w:pPr>
      <w:bookmarkStart w:colFirst="0" w:colLast="0" w:name="_heading=h.29btu7orj50k" w:id="11"/>
      <w:bookmarkEnd w:id="11"/>
      <w:r w:rsidDel="00000000" w:rsidR="00000000" w:rsidRPr="00000000">
        <w:rPr>
          <w:rtl w:val="0"/>
        </w:rPr>
      </w:r>
    </w:p>
    <w:p w:rsidR="00000000" w:rsidDel="00000000" w:rsidP="00000000" w:rsidRDefault="00000000" w:rsidRPr="00000000" w14:paraId="0000008C">
      <w:pPr>
        <w:pStyle w:val="Heading1"/>
        <w:rPr>
          <w:rFonts w:ascii="Calibri" w:cs="Calibri" w:eastAsia="Calibri" w:hAnsi="Calibri"/>
        </w:rPr>
      </w:pPr>
      <w:bookmarkStart w:colFirst="0" w:colLast="0" w:name="_heading=h.17dp8vu" w:id="12"/>
      <w:bookmarkEnd w:id="12"/>
      <w:r w:rsidDel="00000000" w:rsidR="00000000" w:rsidRPr="00000000">
        <w:rPr>
          <w:rFonts w:ascii="Calibri" w:cs="Calibri" w:eastAsia="Calibri" w:hAnsi="Calibri"/>
          <w:rtl w:val="0"/>
        </w:rPr>
        <w:t xml:space="preserve">Tested with Components</w:t>
      </w:r>
    </w:p>
    <w:p w:rsidR="00000000" w:rsidDel="00000000" w:rsidP="00000000" w:rsidRDefault="00000000" w:rsidRPr="00000000" w14:paraId="0000008D">
      <w:pPr>
        <w:rPr>
          <w:rFonts w:ascii="Calibri" w:cs="Calibri" w:eastAsia="Calibri" w:hAnsi="Calibri"/>
        </w:rPr>
      </w:pPr>
      <w:r w:rsidDel="00000000" w:rsidR="00000000" w:rsidRPr="00000000">
        <w:rPr>
          <w:rtl w:val="0"/>
        </w:rPr>
      </w:r>
    </w:p>
    <w:tbl>
      <w:tblPr>
        <w:tblStyle w:val="Table5"/>
        <w:tblW w:w="109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80"/>
        <w:gridCol w:w="1950"/>
        <w:gridCol w:w="2385"/>
        <w:gridCol w:w="2070"/>
        <w:tblGridChange w:id="0">
          <w:tblGrid>
            <w:gridCol w:w="2250"/>
            <w:gridCol w:w="2280"/>
            <w:gridCol w:w="1950"/>
            <w:gridCol w:w="2385"/>
            <w:gridCol w:w="2070"/>
          </w:tblGrid>
        </w:tblGridChange>
      </w:tblGrid>
      <w:tr>
        <w:trPr>
          <w:cantSplit w:val="0"/>
          <w:trHeight w:val="37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Module/Repo</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Image</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POM version</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Dependent artifactID</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Inji-certify-mosipid</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mosipqa/inji-certify:0.10.x</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Digital-credential-plugin - 0.3.0</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Inji-certify-mock</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mosipqa/inji-certify:0.10.x</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Digital-credential-plugin - 0.3.0</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Inji-certify-Insurance</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mosipqa/inji-certify:0.10.x</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Digital-credential-plugin - 0.3.0</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Inji-config</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mosipqa/config-server:1.1.2</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hyperlink r:id="rId8">
              <w:r w:rsidDel="00000000" w:rsidR="00000000" w:rsidRPr="00000000">
                <w:rPr>
                  <w:rFonts w:ascii="Calibri" w:cs="Calibri" w:eastAsia="Calibri" w:hAnsi="Calibri"/>
                  <w:color w:val="0000ff"/>
                  <w:sz w:val="23"/>
                  <w:szCs w:val="23"/>
                  <w:highlight w:val="white"/>
                  <w:u w:val="single"/>
                  <w:rtl w:val="0"/>
                </w:rPr>
                <w:t xml:space="preserve">https://github.com/mosip/inji-config/tree/release-0.5.x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Keymanager</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1.3.0-beta2 Snapshot</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To be released as a part of certify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eSignet</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eSignet-1.4.1</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B1">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843ED4"/>
    <w:rPr>
      <w:color w:val="0000ff" w:themeColor="hyperlink"/>
      <w:u w:val="single"/>
    </w:rPr>
  </w:style>
  <w:style w:type="character" w:styleId="UnresolvedMention">
    <w:name w:val="Unresolved Mention"/>
    <w:basedOn w:val="DefaultParagraphFont"/>
    <w:uiPriority w:val="99"/>
    <w:semiHidden w:val="1"/>
    <w:unhideWhenUsed w:val="1"/>
    <w:rsid w:val="00843ED4"/>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mosip/inji-config/tree/release-0.5.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6llCvy5dcQCWdKrS0Vnz4X5AKw==">CgMxLjAaHwoBMBIaChgICVIUChJ0YWJsZS5meG1uZ2VzOTVrbWUaHwoBMRIaChgICVIUChJ0YWJsZS5kdDZybTE1c3F5eGwyCGguZ2pkZ3hzMgloLjMwajB6bGwyCWguMWZvYjl0ZTIJaC4zem55c2g3MgloLjJldDkycDAyCGgudHlqY3d0MgloLjNkeTZ2a20yCWguMXQzaDVzZjIJaC40ZDM0b2c4MgloLjJzOGV5bzEyDmgucWl6dGttMXM3b29jMg5oLjI5YnR1N29yajUwazIJaC4xN2RwOHZ1OAByITFzM2NkVmxZOEhMOWRrNHhlb0k3a01RSlc2NlNXYm1E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2025-01-27T06:14:00Z</dcterms:created>
</cp:coreProperties>
</file>