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3D37C9"/>
          </w:tcPr>
          <w:p>
            <w:pPr>
              <w:spacing w:before="200" w:after="40"/>
              <w:jc w:val="center"/>
            </w:pPr>
            <w:r>
              <w:rPr>
                <w:b/>
                <w:color w:val="FFFFFF"/>
                <w:sz w:val="40"/>
              </w:rPr>
              <w:t>TEJOO FASHION</w:t>
            </w:r>
          </w:p>
          <w:p>
            <w:pPr>
              <w:spacing w:after="200"/>
              <w:jc w:val="center"/>
            </w:pPr>
            <w:r>
              <w:rPr>
                <w:color w:val="C7D2FE"/>
                <w:sz w:val="22"/>
              </w:rPr>
              <w:t>WhatsApp AI Dashboard — Project Quotation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1F5F9"/>
          </w:tcPr>
          <w:p>
            <w:r>
              <w:rPr>
                <w:b/>
                <w:color w:val="4B5563"/>
                <w:sz w:val="18"/>
              </w:rPr>
              <w:t>Prepared by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color w:val="111827"/>
                <w:sz w:val="18"/>
              </w:rPr>
              <w:t>Bhumika Shivhare</w:t>
            </w:r>
          </w:p>
        </w:tc>
        <w:tc>
          <w:tcPr>
            <w:tcW w:type="dxa" w:w="2436"/>
            <w:shd w:val="clear" w:color="auto" w:fill="F1F5F9"/>
          </w:tcPr>
          <w:p>
            <w:r>
              <w:rPr>
                <w:b/>
                <w:color w:val="4B5563"/>
                <w:sz w:val="18"/>
              </w:rPr>
              <w:t>Date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color w:val="111827"/>
                <w:sz w:val="18"/>
              </w:rPr>
              <w:t>April 2026</w:t>
            </w:r>
          </w:p>
        </w:tc>
      </w:tr>
      <w:tr>
        <w:tc>
          <w:tcPr>
            <w:tcW w:type="dxa" w:w="2436"/>
            <w:shd w:val="clear" w:color="auto" w:fill="F1F5F9"/>
          </w:tcPr>
          <w:p>
            <w:r>
              <w:rPr>
                <w:b/>
                <w:color w:val="4B5563"/>
                <w:sz w:val="18"/>
              </w:rPr>
              <w:t>Company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color w:val="111827"/>
                <w:sz w:val="18"/>
              </w:rPr>
              <w:t>Indas Analytics Pvt. Ltd.</w:t>
            </w:r>
          </w:p>
        </w:tc>
        <w:tc>
          <w:tcPr>
            <w:tcW w:type="dxa" w:w="2436"/>
            <w:shd w:val="clear" w:color="auto" w:fill="F1F5F9"/>
          </w:tcPr>
          <w:p>
            <w:r>
              <w:rPr>
                <w:b/>
                <w:color w:val="4B5563"/>
                <w:sz w:val="18"/>
              </w:rPr>
              <w:t>Client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color w:val="111827"/>
                <w:sz w:val="18"/>
              </w:rPr>
              <w:t>Tejoo Fashions</w:t>
            </w:r>
          </w:p>
        </w:tc>
      </w:tr>
      <w:tr>
        <w:tc>
          <w:tcPr>
            <w:tcW w:type="dxa" w:w="2436"/>
            <w:shd w:val="clear" w:color="auto" w:fill="F1F5F9"/>
          </w:tcPr>
          <w:p>
            <w:r>
              <w:rPr>
                <w:b/>
                <w:color w:val="4B5563"/>
                <w:sz w:val="18"/>
              </w:rPr>
              <w:t>Frontend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color w:val="111827"/>
                <w:sz w:val="18"/>
              </w:rPr>
              <w:t>Next.js 14 (TypeScript)</w:t>
            </w:r>
          </w:p>
        </w:tc>
        <w:tc>
          <w:tcPr>
            <w:tcW w:type="dxa" w:w="2436"/>
            <w:shd w:val="clear" w:color="auto" w:fill="F1F5F9"/>
          </w:tcPr>
          <w:p>
            <w:r>
              <w:rPr>
                <w:b/>
                <w:color w:val="4B5563"/>
                <w:sz w:val="18"/>
              </w:rPr>
              <w:t>Backend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color w:val="111827"/>
                <w:sz w:val="18"/>
              </w:rPr>
              <w:t>ASP.NET Core (.NET 8)</w:t>
            </w:r>
          </w:p>
        </w:tc>
      </w:tr>
      <w:tr>
        <w:tc>
          <w:tcPr>
            <w:tcW w:type="dxa" w:w="2436"/>
            <w:shd w:val="clear" w:color="auto" w:fill="F1F5F9"/>
          </w:tcPr>
          <w:p>
            <w:r>
              <w:rPr>
                <w:b/>
                <w:color w:val="4B5563"/>
                <w:sz w:val="18"/>
              </w:rPr>
              <w:t>Database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color w:val="111827"/>
                <w:sz w:val="18"/>
              </w:rPr>
              <w:t>Microsoft SQL Server</w:t>
            </w:r>
          </w:p>
        </w:tc>
        <w:tc>
          <w:tcPr>
            <w:tcW w:type="dxa" w:w="2436"/>
            <w:shd w:val="clear" w:color="auto" w:fill="F1F5F9"/>
          </w:tcPr>
          <w:p>
            <w:r>
              <w:rPr>
                <w:b/>
                <w:color w:val="4B5563"/>
                <w:sz w:val="18"/>
              </w:rPr>
              <w:t>Server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color w:val="111827"/>
                <w:sz w:val="18"/>
              </w:rPr>
              <w:t>Windows Server</w:t>
            </w:r>
          </w:p>
        </w:tc>
      </w:tr>
      <w:tr>
        <w:tc>
          <w:tcPr>
            <w:tcW w:type="dxa" w:w="2436"/>
            <w:shd w:val="clear" w:color="auto" w:fill="F1F5F9"/>
          </w:tcPr>
          <w:p>
            <w:r>
              <w:rPr>
                <w:b/>
                <w:color w:val="4B5563"/>
                <w:sz w:val="18"/>
              </w:rPr>
              <w:t>AI Engine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color w:val="111827"/>
                <w:sz w:val="18"/>
              </w:rPr>
              <w:t>OpenAI GPT-4o-mini</w:t>
            </w:r>
          </w:p>
        </w:tc>
        <w:tc>
          <w:tcPr>
            <w:tcW w:type="dxa" w:w="2436"/>
            <w:shd w:val="clear" w:color="auto" w:fill="F1F5F9"/>
          </w:tcPr>
          <w:p>
            <w:r>
              <w:rPr>
                <w:b/>
                <w:color w:val="4B5563"/>
                <w:sz w:val="18"/>
              </w:rPr>
              <w:t>Real-time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color w:val="111827"/>
                <w:sz w:val="18"/>
              </w:rPr>
              <w:t>SignalR</w:t>
            </w:r>
          </w:p>
        </w:tc>
      </w:tr>
    </w:tbl>
    <w:p/>
    <w:p>
      <w:pPr>
        <w:spacing w:before="280" w:after="80"/>
      </w:pPr>
      <w:r>
        <w:rPr>
          <w:b/>
          <w:color w:val="2D27A6"/>
          <w:sz w:val="24"/>
        </w:rPr>
        <w:t>1.  One-Time Development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3D37C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948"/>
            <w:shd w:val="clear" w:color="auto" w:fill="3D37C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02"/>
            <w:shd w:val="clear" w:color="auto" w:fill="3D37C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3D37C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Project Architecture &amp; Setup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Next.js + C# + MSSQL structure, CI, deployment scripts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/>
                <w:sz w:val="18"/>
              </w:rPr>
              <w:t>Authentication &amp; Security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JWT login, role-based access, middleware, session management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WhatsApp Session Management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Interakt + Meta dual-provider, QR connect, webhook ingest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45</w:t>
            </w:r>
          </w:p>
        </w:tc>
      </w:tr>
      <w:tr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/>
                <w:sz w:val="18"/>
              </w:rPr>
              <w:t>Conversations &amp; Messaging Engine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Live chat UI, send/receive, message history, pagination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AI Auto-Reply Integration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GPT-4o-mini routing, prompt management, business hours gate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40</w:t>
            </w:r>
          </w:p>
        </w:tc>
      </w:tr>
      <w:tr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/>
                <w:sz w:val="18"/>
              </w:rPr>
              <w:t>Real-Time (SignalR)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Live message push, notifications hub, connection management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Escalation System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Rules engine, auto-escalate, resolve workflow, SLA timer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35</w:t>
            </w:r>
          </w:p>
        </w:tc>
      </w:tr>
      <w:tr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/>
                <w:sz w:val="18"/>
              </w:rPr>
              <w:t>Team &amp; Hierarchy Management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Teams, members, manager trees, org chart view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User &amp; Role Management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CRUD, role permissions matrix, route guards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/>
                <w:sz w:val="18"/>
              </w:rPr>
              <w:t>Performance &amp; Reports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Agent KPIs, team reports, 7/30/90-day analytics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Customer Management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Customer profiles, edit, conversation history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/>
                <w:sz w:val="18"/>
              </w:rPr>
              <w:t>Audit Logs &amp; Webhook Logs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Full audit trail, raw payload viewer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Quick Replies Management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Category-grouped templates, CRUD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/>
                <w:sz w:val="18"/>
              </w:rPr>
              <w:t>Overview Dashboard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KPIs, session activity, live auto-refresh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Notifications System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In-app bell, read/unread, real-time push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/>
                <w:sz w:val="18"/>
              </w:rPr>
              <w:t>Tags, Export &amp; Search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Conversation tagging, CSV export, global search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AI Conversation Summary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GPT-4o-mini summarization, sentiment, key topics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/>
                <w:sz w:val="18"/>
              </w:rPr>
              <w:t>Testing &amp; QA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Cross-browser, API testing, bug fixes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Deployment &amp; Server Setup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Windows Server, IIS, SQL Server, SSL, domain config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/>
                <w:sz w:val="18"/>
              </w:rPr>
              <w:t>Documentation &amp; Handover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Admin guide, API docs, user manual</w:t>
            </w:r>
          </w:p>
        </w:tc>
        <w:tc>
          <w:tcPr>
            <w:tcW w:type="dxa" w:w="2436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2436"/>
            <w:shd w:val="clear" w:color="auto" w:fill="E0E7FF"/>
          </w:tcPr>
          <w:p>
            <w:pPr>
              <w:jc w:val="center"/>
            </w:pPr>
            <w:r>
              <w:rPr>
                <w:b w:val="0"/>
                <w:color w:val="2D27A6"/>
                <w:sz w:val="19"/>
              </w:rPr>
            </w:r>
          </w:p>
        </w:tc>
        <w:tc>
          <w:tcPr>
            <w:tcW w:type="dxa" w:w="2436"/>
            <w:shd w:val="clear" w:color="auto" w:fill="E0E7FF"/>
          </w:tcPr>
          <w:p>
            <w:pPr>
              <w:jc w:val="left"/>
            </w:pPr>
            <w:r>
              <w:rPr>
                <w:b w:val="0"/>
                <w:color w:val="2D27A6"/>
                <w:sz w:val="19"/>
              </w:rPr>
            </w:r>
          </w:p>
        </w:tc>
        <w:tc>
          <w:tcPr>
            <w:tcW w:type="dxa" w:w="2436"/>
            <w:shd w:val="clear" w:color="auto" w:fill="E0E7FF"/>
          </w:tcPr>
          <w:p>
            <w:pPr>
              <w:jc w:val="right"/>
            </w:pPr>
            <w:r>
              <w:rPr>
                <w:b/>
                <w:color w:val="2D27A6"/>
                <w:sz w:val="19"/>
              </w:rPr>
              <w:t>TOTAL HOURS</w:t>
            </w:r>
          </w:p>
        </w:tc>
        <w:tc>
          <w:tcPr>
            <w:tcW w:type="dxa" w:w="2436"/>
            <w:shd w:val="clear" w:color="auto" w:fill="E0E7FF"/>
          </w:tcPr>
          <w:p>
            <w:pPr>
              <w:jc w:val="center"/>
            </w:pPr>
            <w:r>
              <w:rPr>
                <w:b/>
                <w:color w:val="2D27A6"/>
                <w:sz w:val="19"/>
              </w:rPr>
              <w:t>550</w:t>
            </w:r>
          </w:p>
        </w:tc>
      </w:tr>
    </w:tbl>
    <w:p/>
    <w:p>
      <w:pPr>
        <w:spacing w:before="280" w:after="80"/>
      </w:pPr>
      <w:r>
        <w:rPr>
          <w:b/>
          <w:color w:val="4B5563"/>
          <w:sz w:val="24"/>
        </w:rPr>
        <w:t xml:space="preserve">   Pricing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Development  (550 hrs × ₹1,000/hr)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₹1,000 / hr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₹5,50,000</w:t>
            </w:r>
          </w:p>
        </w:tc>
      </w:tr>
      <w:tr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GST @ 18%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₹99,000</w:t>
            </w:r>
          </w:p>
        </w:tc>
      </w:tr>
      <w:tr>
        <w:tc>
          <w:tcPr>
            <w:tcW w:type="dxa" w:w="3249"/>
            <w:shd w:val="clear" w:color="auto" w:fill="D1FAE5"/>
          </w:tcPr>
          <w:p>
            <w:pPr>
              <w:jc w:val="left"/>
            </w:pPr>
            <w:r>
              <w:rPr>
                <w:b/>
                <w:color w:val="059669"/>
                <w:sz w:val="18"/>
              </w:rPr>
              <w:t>GRAND TOTAL (incl. GST)</w:t>
            </w:r>
          </w:p>
        </w:tc>
        <w:tc>
          <w:tcPr>
            <w:tcW w:type="dxa" w:w="3249"/>
            <w:shd w:val="clear" w:color="auto" w:fill="D1FAE5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</w:r>
          </w:p>
        </w:tc>
        <w:tc>
          <w:tcPr>
            <w:tcW w:type="dxa" w:w="3249"/>
            <w:shd w:val="clear" w:color="auto" w:fill="D1FAE5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₹6,49,000</w:t>
            </w:r>
          </w:p>
        </w:tc>
      </w:tr>
    </w:tbl>
    <w:p/>
    <w:p>
      <w:pPr>
        <w:spacing w:before="280" w:after="80"/>
      </w:pPr>
      <w:r>
        <w:rPr>
          <w:b/>
          <w:color w:val="4B5563"/>
          <w:sz w:val="24"/>
        </w:rPr>
        <w:t xml:space="preserve">   Payment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 (excl. GST)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Project kickoff / Agreement signed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₹1,65,000</w:t>
            </w:r>
          </w:p>
        </w:tc>
      </w:tr>
      <w:tr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Backend + Core features delivered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₹1,65,000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Frontend complete + UAT sign-off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₹1,65,000</w:t>
            </w:r>
          </w:p>
        </w:tc>
      </w:tr>
      <w:tr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Final delivery + Deployment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₹55,000</w:t>
            </w:r>
          </w:p>
        </w:tc>
      </w:tr>
      <w:tr>
        <w:tc>
          <w:tcPr>
            <w:tcW w:type="dxa" w:w="3249"/>
            <w:shd w:val="clear" w:color="auto" w:fill="D1FAE5"/>
          </w:tcPr>
          <w:p>
            <w:pPr>
              <w:jc w:val="left"/>
            </w:pPr>
            <w:r>
              <w:rPr>
                <w:b/>
                <w:color w:val="059669"/>
                <w:sz w:val="18"/>
              </w:rPr>
              <w:t>Total</w:t>
            </w:r>
          </w:p>
        </w:tc>
        <w:tc>
          <w:tcPr>
            <w:tcW w:type="dxa" w:w="3249"/>
            <w:shd w:val="clear" w:color="auto" w:fill="D1FAE5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100%</w:t>
            </w:r>
          </w:p>
        </w:tc>
        <w:tc>
          <w:tcPr>
            <w:tcW w:type="dxa" w:w="3249"/>
            <w:shd w:val="clear" w:color="auto" w:fill="D1FAE5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₹5,50,000</w:t>
            </w:r>
          </w:p>
        </w:tc>
      </w:tr>
    </w:tbl>
    <w:p/>
    <w:p>
      <w:pPr>
        <w:spacing w:before="280" w:after="80"/>
      </w:pPr>
      <w:r>
        <w:rPr>
          <w:b/>
          <w:color w:val="2D27A6"/>
          <w:sz w:val="24"/>
        </w:rPr>
        <w:t>2.  Monthly Operational Cost</w:t>
      </w:r>
    </w:p>
    <w:p>
      <w:pPr>
        <w:spacing w:before="280" w:after="80"/>
      </w:pPr>
      <w:r>
        <w:rPr>
          <w:b/>
          <w:color w:val="4B5563"/>
          <w:sz w:val="24"/>
        </w:rPr>
        <w:t xml:space="preserve">   2a. 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Windows VPS / Cloud Server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Azure India / AWS / DigitalOcean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₹5,000 – ₹8,000</w:t>
            </w:r>
          </w:p>
        </w:tc>
      </w:tr>
      <w:tr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sz w:val="18"/>
              </w:rPr>
              <w:t>SQL Server Express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sz w:val="18"/>
              </w:rPr>
              <w:t>Free (bundled with Windows Server)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sz w:val="18"/>
              </w:rPr>
              <w:t>₹0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Domain + SSL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Any registrar  |  Let's Encrypt (free SSL)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~₹100</w:t>
            </w:r>
          </w:p>
        </w:tc>
      </w:tr>
      <w:tr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sz w:val="18"/>
              </w:rPr>
              <w:t>Backup Storage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sz w:val="18"/>
              </w:rPr>
              <w:t>Azure Blob / Local disk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sz w:val="18"/>
              </w:rPr>
              <w:t>₹500 – ₹1,000</w:t>
            </w:r>
          </w:p>
        </w:tc>
      </w:tr>
    </w:tbl>
    <w:p/>
    <w:p>
      <w:pPr>
        <w:spacing w:before="280" w:after="80"/>
      </w:pPr>
      <w:r>
        <w:rPr>
          <w:b/>
          <w:color w:val="4B5563"/>
          <w:sz w:val="24"/>
        </w:rPr>
        <w:t xml:space="preserve">   2b.  Third-Party Services  (pass-through — paid by client)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WhatsApp Business API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Interakt Basic plan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₹2,499</w:t>
            </w:r>
          </w:p>
        </w:tc>
      </w:tr>
      <w:tr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sz w:val="18"/>
              </w:rPr>
              <w:t>WhatsApp Business API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sz w:val="18"/>
              </w:rPr>
              <w:t>Meta Direct (pay-per-conversation)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sz w:val="18"/>
              </w:rPr>
              <w:t>₹500 – ₹3,000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AI — OpenAI GPT-4o-mini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OpenAI  (usage-based)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₹400 – ₹4,000</w:t>
            </w:r>
          </w:p>
        </w:tc>
      </w:tr>
      <w:tr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sz w:val="18"/>
              </w:rPr>
              <w:t>Email Alerts (optional)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sz w:val="18"/>
              </w:rPr>
              <w:t>SendGrid free tier / SMTP relay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sz w:val="18"/>
              </w:rPr>
              <w:t>₹0 – ₹500</w:t>
            </w:r>
          </w:p>
        </w:tc>
      </w:tr>
    </w:tbl>
    <w:p/>
    <w:p>
      <w:pPr>
        <w:spacing w:before="280" w:after="80"/>
      </w:pPr>
      <w:r>
        <w:rPr>
          <w:b/>
          <w:color w:val="4B5563"/>
          <w:sz w:val="24"/>
        </w:rPr>
        <w:t xml:space="preserve">   2c.  OpenAI Cost Estimator  (GPT-4o-mini)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 Conversations</w:t>
            </w:r>
          </w:p>
        </w:tc>
        <w:tc>
          <w:tcPr>
            <w:tcW w:type="dxa" w:w="4873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Monthly AI Cost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~50  conversations / day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₹400 – ₹800</w:t>
            </w:r>
          </w:p>
        </w:tc>
      </w:tr>
      <w:tr>
        <w:tc>
          <w:tcPr>
            <w:tcW w:type="dxa" w:w="4873"/>
            <w:shd w:val="clear" w:color="auto" w:fill="EBF0FF"/>
          </w:tcPr>
          <w:p>
            <w:pPr>
              <w:jc w:val="left"/>
            </w:pPr>
            <w:r>
              <w:rPr>
                <w:sz w:val="18"/>
              </w:rPr>
              <w:t>~200 conversations / day</w:t>
            </w:r>
          </w:p>
        </w:tc>
        <w:tc>
          <w:tcPr>
            <w:tcW w:type="dxa" w:w="4873"/>
            <w:shd w:val="clear" w:color="auto" w:fill="EBF0FF"/>
          </w:tcPr>
          <w:p>
            <w:pPr>
              <w:jc w:val="center"/>
            </w:pPr>
            <w:r>
              <w:rPr>
                <w:sz w:val="18"/>
              </w:rPr>
              <w:t>₹1,500 – ₹2,500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~500 conversations / day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₹3,000 – ₹5,000</w:t>
            </w:r>
          </w:p>
        </w:tc>
      </w:tr>
    </w:tbl>
    <w:p/>
    <w:p>
      <w:pPr>
        <w:spacing w:before="280" w:after="80"/>
      </w:pPr>
      <w:r>
        <w:rPr>
          <w:b/>
          <w:color w:val="4B5563"/>
          <w:sz w:val="24"/>
        </w:rPr>
        <w:t xml:space="preserve">   2d.  Maintenance &amp; Support  (Indas Analytics)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Includes</w:t>
            </w:r>
          </w:p>
        </w:tc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Retainer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Basic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Bug fixes, uptime monitoring, minor tweaks  (2 hrs/month)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D27A6"/>
                <w:sz w:val="18"/>
              </w:rPr>
              <w:t>₹5,000</w:t>
            </w:r>
          </w:p>
        </w:tc>
      </w:tr>
      <w:tr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b/>
                <w:sz w:val="18"/>
              </w:rPr>
              <w:t>Standard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Above + priority support, small enhancements  (5 hrs/month)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/>
                <w:color w:val="2D27A6"/>
                <w:sz w:val="18"/>
              </w:rPr>
              <w:t>₹10,000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Premium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Above + dedicated support, SLA guarantee  (10 hrs/month)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D27A6"/>
                <w:sz w:val="18"/>
              </w:rPr>
              <w:t>₹20,000</w:t>
            </w:r>
          </w:p>
        </w:tc>
      </w:tr>
    </w:tbl>
    <w:p/>
    <w:p>
      <w:pPr>
        <w:spacing w:before="280" w:after="80"/>
      </w:pPr>
      <w:r>
        <w:rPr>
          <w:b/>
          <w:color w:val="4B5563"/>
          <w:sz w:val="24"/>
        </w:rPr>
        <w:t xml:space="preserve">   2e.  Monthly Cost Summary  (Standard maintenance plan)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Low Estimate</w:t>
            </w:r>
          </w:p>
        </w:tc>
        <w:tc>
          <w:tcPr>
            <w:tcW w:type="dxa" w:w="3249"/>
            <w:shd w:val="clear" w:color="auto" w:fill="4B55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High Estimate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Windows Server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₹5,000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₹8,000</w:t>
            </w:r>
          </w:p>
        </w:tc>
      </w:tr>
      <w:tr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Domain + SSL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₹100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₹100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Backup Storage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₹500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₹1,000</w:t>
            </w:r>
          </w:p>
        </w:tc>
      </w:tr>
      <w:tr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WhatsApp API (Interakt)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₹2,499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₹2,499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AI — OpenAI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₹400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₹4,000</w:t>
            </w:r>
          </w:p>
        </w:tc>
      </w:tr>
      <w:tr>
        <w:tc>
          <w:tcPr>
            <w:tcW w:type="dxa" w:w="3249"/>
            <w:shd w:val="clear" w:color="auto" w:fill="EBF0FF"/>
          </w:tcPr>
          <w:p>
            <w:pPr>
              <w:jc w:val="left"/>
            </w:pPr>
            <w:r>
              <w:rPr>
                <w:b w:val="0"/>
                <w:sz w:val="18"/>
              </w:rPr>
              <w:t>Maintenance (Standard)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₹10,000</w:t>
            </w:r>
          </w:p>
        </w:tc>
        <w:tc>
          <w:tcPr>
            <w:tcW w:type="dxa" w:w="3249"/>
            <w:shd w:val="clear" w:color="auto" w:fill="EBF0FF"/>
          </w:tcPr>
          <w:p>
            <w:pPr>
              <w:jc w:val="center"/>
            </w:pPr>
            <w:r>
              <w:rPr>
                <w:b w:val="0"/>
                <w:sz w:val="18"/>
              </w:rPr>
              <w:t>₹10,000</w:t>
            </w:r>
          </w:p>
        </w:tc>
      </w:tr>
      <w:tr>
        <w:tc>
          <w:tcPr>
            <w:tcW w:type="dxa" w:w="3249"/>
            <w:shd w:val="clear" w:color="auto" w:fill="D1FAE5"/>
          </w:tcPr>
          <w:p>
            <w:pPr>
              <w:jc w:val="left"/>
            </w:pPr>
            <w:r>
              <w:rPr>
                <w:b/>
                <w:color w:val="059669"/>
                <w:sz w:val="18"/>
              </w:rPr>
              <w:t>Total Monthly</w:t>
            </w:r>
          </w:p>
        </w:tc>
        <w:tc>
          <w:tcPr>
            <w:tcW w:type="dxa" w:w="3249"/>
            <w:shd w:val="clear" w:color="auto" w:fill="D1FAE5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₹18,499</w:t>
            </w:r>
          </w:p>
        </w:tc>
        <w:tc>
          <w:tcPr>
            <w:tcW w:type="dxa" w:w="3249"/>
            <w:shd w:val="clear" w:color="auto" w:fill="D1FAE5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₹25,599</w:t>
            </w:r>
          </w:p>
        </w:tc>
      </w:tr>
      <w:tr>
        <w:tc>
          <w:tcPr>
            <w:tcW w:type="dxa" w:w="3249"/>
            <w:shd w:val="clear" w:color="auto" w:fill="D1FAE5"/>
          </w:tcPr>
          <w:p>
            <w:pPr>
              <w:jc w:val="left"/>
            </w:pPr>
            <w:r>
              <w:rPr>
                <w:b/>
                <w:color w:val="059669"/>
                <w:sz w:val="18"/>
              </w:rPr>
              <w:t>+ GST (18%)</w:t>
            </w:r>
          </w:p>
        </w:tc>
        <w:tc>
          <w:tcPr>
            <w:tcW w:type="dxa" w:w="3249"/>
            <w:shd w:val="clear" w:color="auto" w:fill="D1FAE5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₹21,829</w:t>
            </w:r>
          </w:p>
        </w:tc>
        <w:tc>
          <w:tcPr>
            <w:tcW w:type="dxa" w:w="3249"/>
            <w:shd w:val="clear" w:color="auto" w:fill="D1FAE5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₹30,207</w:t>
            </w:r>
          </w:p>
        </w:tc>
      </w:tr>
    </w:tbl>
    <w:p/>
    <w:p>
      <w:pPr>
        <w:spacing w:before="280" w:after="80"/>
      </w:pPr>
      <w:r>
        <w:rPr>
          <w:b/>
          <w:color w:val="2D27A6"/>
          <w:sz w:val="24"/>
        </w:rPr>
        <w:t>3.  Not Included — Future Add-Ons  (quoted separately)</w:t>
      </w:r>
    </w:p>
    <w:p>
      <w:pPr>
        <w:pStyle w:val="ListBullet"/>
        <w:spacing w:before="40" w:after="40"/>
      </w:pPr>
      <w:r>
        <w:rPr>
          <w:color w:val="111827"/>
          <w:sz w:val="18"/>
        </w:rPr>
        <w:t>Mobile application (Android / iOS)</w:t>
      </w:r>
    </w:p>
    <w:p>
      <w:pPr>
        <w:pStyle w:val="ListBullet"/>
        <w:spacing w:before="40" w:after="40"/>
      </w:pPr>
      <w:r>
        <w:rPr>
          <w:color w:val="111827"/>
          <w:sz w:val="18"/>
        </w:rPr>
        <w:t>CRM integration  (Zoho, Salesforce, HubSpot, etc.)</w:t>
      </w:r>
    </w:p>
    <w:p>
      <w:pPr>
        <w:pStyle w:val="ListBullet"/>
        <w:spacing w:before="40" w:after="40"/>
      </w:pPr>
      <w:r>
        <w:rPr>
          <w:color w:val="111827"/>
          <w:sz w:val="18"/>
        </w:rPr>
        <w:t>Multi-language / multilingual AI responses</w:t>
      </w:r>
    </w:p>
    <w:p>
      <w:pPr>
        <w:pStyle w:val="ListBullet"/>
        <w:spacing w:before="40" w:after="40"/>
      </w:pPr>
      <w:r>
        <w:rPr>
          <w:color w:val="111827"/>
          <w:sz w:val="18"/>
        </w:rPr>
        <w:t>Advanced BI dashboard / data warehouse integration</w:t>
      </w:r>
    </w:p>
    <w:p>
      <w:pPr>
        <w:pStyle w:val="ListBullet"/>
        <w:spacing w:before="40" w:after="40"/>
      </w:pPr>
      <w:r>
        <w:rPr>
          <w:color w:val="111827"/>
          <w:sz w:val="18"/>
        </w:rPr>
        <w:t>Payment gateway integration</w:t>
      </w:r>
    </w:p>
    <w:p>
      <w:pPr>
        <w:pStyle w:val="ListBullet"/>
        <w:spacing w:before="40" w:after="40"/>
      </w:pPr>
      <w:r>
        <w:rPr>
          <w:color w:val="111827"/>
          <w:sz w:val="18"/>
        </w:rPr>
        <w:t>Additional WhatsApp numbers or sessions beyond current scope</w:t>
      </w:r>
    </w:p>
    <w:p/>
    <w:p>
      <w:pPr>
        <w:spacing w:before="80" w:after="40"/>
      </w:pPr>
      <w:r>
        <w:rPr>
          <w:i/>
          <w:color w:val="4B5563"/>
          <w:sz w:val="17"/>
        </w:rPr>
        <w:t xml:space="preserve">  Note: Server and third-party costs (OpenAI, Interakt, WhatsApp) are pass-through —</w:t>
      </w:r>
    </w:p>
    <w:p>
      <w:pPr>
        <w:spacing w:before="80" w:after="40"/>
      </w:pPr>
      <w:r>
        <w:rPr>
          <w:i/>
          <w:color w:val="4B5563"/>
          <w:sz w:val="17"/>
        </w:rPr>
        <w:t xml:space="preserve">        Tejoo Fashion pays these directly to the respective vendors.</w:t>
      </w:r>
    </w:p>
    <w:p>
      <w:pPr>
        <w:spacing w:before="80" w:after="40"/>
      </w:pPr>
      <w:r>
        <w:rPr>
          <w:i/>
          <w:color w:val="4B5563"/>
          <w:sz w:val="17"/>
        </w:rPr>
        <w:t xml:space="preserve">        Only the maintenance retainer is payable to Indas Analytics Private Limited.</w:t>
      </w:r>
    </w:p>
    <w:p>
      <w:pPr>
        <w:spacing w:before="80" w:after="40"/>
      </w:pPr>
      <w:r>
        <w:rPr>
          <w:i/>
          <w:color w:val="4B5563"/>
          <w:sz w:val="17"/>
        </w:rPr>
        <w:t xml:space="preserve">        All prices are in INR. GST @ 18% applicable on development and maintenance fees.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3D37C9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Indas Analytics Private Limited  |  Prepared by: Bhumika Shivhare  |  April 2026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