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85FA" w14:textId="77777777" w:rsidR="00EB6A1B" w:rsidRPr="00AD5569" w:rsidRDefault="00EB6A1B" w:rsidP="00EB6A1B">
      <w:pPr>
        <w:jc w:val="center"/>
        <w:rPr>
          <w:rFonts w:cstheme="minorHAnsi"/>
          <w:b/>
          <w:bCs/>
          <w:color w:val="1F3864" w:themeColor="accent5" w:themeShade="80"/>
          <w:kern w:val="0"/>
          <w:sz w:val="36"/>
          <w:szCs w:val="36"/>
        </w:rPr>
      </w:pPr>
      <w:r w:rsidRPr="00AD5569">
        <w:rPr>
          <w:rFonts w:cstheme="minorHAnsi"/>
          <w:b/>
          <w:bCs/>
          <w:color w:val="1F3864" w:themeColor="accent5" w:themeShade="80"/>
          <w:kern w:val="0"/>
          <w:sz w:val="36"/>
          <w:szCs w:val="36"/>
        </w:rPr>
        <w:t>BANK LOAN REPORT</w:t>
      </w:r>
    </w:p>
    <w:p w14:paraId="4DD5815D" w14:textId="77777777" w:rsidR="00EB6A1B" w:rsidRPr="00AD5569" w:rsidRDefault="00EB6A1B" w:rsidP="00EB6A1B">
      <w:pPr>
        <w:jc w:val="center"/>
        <w:rPr>
          <w:b/>
          <w:bCs/>
          <w:color w:val="5B9BD5" w:themeColor="accent1"/>
          <w:sz w:val="32"/>
          <w:szCs w:val="32"/>
        </w:rPr>
      </w:pPr>
      <w:r w:rsidRPr="00AD5569">
        <w:rPr>
          <w:b/>
          <w:bCs/>
          <w:color w:val="5B9BD5" w:themeColor="accent1"/>
          <w:sz w:val="32"/>
          <w:szCs w:val="32"/>
        </w:rPr>
        <w:t>PROBLEM STATEMENT</w:t>
      </w:r>
    </w:p>
    <w:p w14:paraId="12D0B9CF" w14:textId="77777777" w:rsidR="00EB6A1B" w:rsidRPr="00213E6C" w:rsidRDefault="00EB6A1B" w:rsidP="00EB6A1B">
      <w:pPr>
        <w:rPr>
          <w:b/>
          <w:bCs/>
          <w:color w:val="538135" w:themeColor="accent6" w:themeShade="BF"/>
          <w:sz w:val="28"/>
          <w:szCs w:val="28"/>
          <w:u w:val="single"/>
        </w:rPr>
      </w:pPr>
      <w:r w:rsidRPr="002F5A59">
        <w:rPr>
          <w:b/>
          <w:bCs/>
          <w:color w:val="538135" w:themeColor="accent6" w:themeShade="BF"/>
          <w:sz w:val="28"/>
          <w:szCs w:val="28"/>
          <w:highlight w:val="yellow"/>
          <w:u w:val="single"/>
        </w:rPr>
        <w:t>DASHBOARD 1: SUMMARY</w:t>
      </w:r>
    </w:p>
    <w:p w14:paraId="6C74F8B0" w14:textId="77777777" w:rsidR="00EB6A1B" w:rsidRDefault="00EB6A1B" w:rsidP="00EB6A1B">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5E756482" w14:textId="77777777" w:rsidR="00EB6A1B" w:rsidRPr="003C125F" w:rsidRDefault="00EB6A1B" w:rsidP="00EB6A1B">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589DB0B5" w14:textId="77777777" w:rsidR="00EB6A1B" w:rsidRPr="00F810AF" w:rsidRDefault="00EB6A1B" w:rsidP="00EB6A1B">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3490F5A8" w14:textId="77777777" w:rsidR="00EB6A1B" w:rsidRPr="00F810AF" w:rsidRDefault="00EB6A1B" w:rsidP="00EB6A1B">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382D0912" w14:textId="77777777" w:rsidR="00EB6A1B" w:rsidRPr="00F810AF" w:rsidRDefault="00EB6A1B" w:rsidP="00EB6A1B">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32C1C59E" w14:textId="77777777" w:rsidR="00EB6A1B" w:rsidRPr="00F810AF" w:rsidRDefault="00EB6A1B" w:rsidP="00EB6A1B">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4EC6FC37" w14:textId="77777777" w:rsidR="00EB6A1B" w:rsidRPr="00F810AF" w:rsidRDefault="00EB6A1B" w:rsidP="00EB6A1B">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42C69E33" w14:textId="77777777" w:rsidR="00EB6A1B" w:rsidRDefault="00EB6A1B" w:rsidP="00EB6A1B">
      <w:pPr>
        <w:spacing w:line="360" w:lineRule="auto"/>
        <w:jc w:val="both"/>
        <w:rPr>
          <w:b/>
          <w:bCs/>
          <w:color w:val="C45911" w:themeColor="accent2" w:themeShade="BF"/>
          <w:sz w:val="24"/>
          <w:szCs w:val="24"/>
        </w:rPr>
      </w:pPr>
    </w:p>
    <w:p w14:paraId="58AFEAA9" w14:textId="77777777" w:rsidR="00EB6A1B" w:rsidRDefault="00EB6A1B" w:rsidP="00EB6A1B">
      <w:pPr>
        <w:spacing w:line="360" w:lineRule="auto"/>
        <w:jc w:val="both"/>
        <w:rPr>
          <w:b/>
          <w:bCs/>
          <w:color w:val="C45911" w:themeColor="accent2" w:themeShade="BF"/>
          <w:sz w:val="24"/>
          <w:szCs w:val="24"/>
        </w:rPr>
      </w:pPr>
    </w:p>
    <w:p w14:paraId="6FCA30F4" w14:textId="77777777" w:rsidR="00EB6A1B" w:rsidRDefault="00EB6A1B" w:rsidP="00EB6A1B">
      <w:pPr>
        <w:spacing w:line="360" w:lineRule="auto"/>
        <w:jc w:val="both"/>
        <w:rPr>
          <w:b/>
          <w:bCs/>
          <w:color w:val="C45911" w:themeColor="accent2" w:themeShade="BF"/>
          <w:sz w:val="24"/>
          <w:szCs w:val="24"/>
        </w:rPr>
      </w:pPr>
    </w:p>
    <w:p w14:paraId="3AC4FF7F" w14:textId="77777777" w:rsidR="00EB6A1B" w:rsidRPr="003C125F" w:rsidRDefault="00EB6A1B" w:rsidP="00EB6A1B">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328A728B" w14:textId="77777777" w:rsidR="00EB6A1B" w:rsidRDefault="00EB6A1B" w:rsidP="00EB6A1B">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04591C4F" w14:textId="77777777" w:rsidR="00EB6A1B" w:rsidRPr="003C125F" w:rsidRDefault="00EB6A1B" w:rsidP="00EB6A1B">
      <w:pPr>
        <w:spacing w:line="360" w:lineRule="auto"/>
        <w:jc w:val="both"/>
        <w:rPr>
          <w:sz w:val="24"/>
          <w:szCs w:val="24"/>
        </w:rPr>
      </w:pPr>
      <w:r w:rsidRPr="003C125F">
        <w:rPr>
          <w:b/>
          <w:bCs/>
          <w:sz w:val="24"/>
          <w:szCs w:val="24"/>
        </w:rPr>
        <w:t>Good Loan KPIs:</w:t>
      </w:r>
    </w:p>
    <w:p w14:paraId="699FC60F" w14:textId="77777777" w:rsidR="00EB6A1B" w:rsidRDefault="00EB6A1B" w:rsidP="00EB6A1B">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317E129B" w14:textId="77777777" w:rsidR="00EB6A1B" w:rsidRDefault="00EB6A1B" w:rsidP="00EB6A1B">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4C9C8007" w14:textId="77777777" w:rsidR="00EB6A1B" w:rsidRDefault="00EB6A1B" w:rsidP="00EB6A1B">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2AE85D78" w14:textId="77777777" w:rsidR="00EB6A1B" w:rsidRPr="003C125F" w:rsidRDefault="00EB6A1B" w:rsidP="00EB6A1B">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2F567EAA" w14:textId="77777777" w:rsidR="00EB6A1B" w:rsidRPr="003C125F" w:rsidRDefault="00EB6A1B" w:rsidP="00EB6A1B">
      <w:pPr>
        <w:spacing w:line="360" w:lineRule="auto"/>
        <w:jc w:val="both"/>
        <w:rPr>
          <w:sz w:val="24"/>
          <w:szCs w:val="24"/>
        </w:rPr>
      </w:pPr>
      <w:r w:rsidRPr="003C125F">
        <w:rPr>
          <w:b/>
          <w:bCs/>
          <w:sz w:val="24"/>
          <w:szCs w:val="24"/>
        </w:rPr>
        <w:t>Bad Loan KPIs:</w:t>
      </w:r>
    </w:p>
    <w:p w14:paraId="244610D5" w14:textId="77777777" w:rsidR="00EB6A1B" w:rsidRDefault="00EB6A1B" w:rsidP="00EB6A1B">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2F008363" w14:textId="77777777" w:rsidR="00EB6A1B" w:rsidRDefault="00EB6A1B" w:rsidP="00EB6A1B">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41BD35CC" w14:textId="77777777" w:rsidR="00EB6A1B" w:rsidRDefault="00EB6A1B" w:rsidP="00EB6A1B">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12C59BDE" w14:textId="77777777" w:rsidR="00EB6A1B" w:rsidRPr="003C125F" w:rsidRDefault="00EB6A1B" w:rsidP="00EB6A1B">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1F95570" w14:textId="77777777" w:rsidR="00EB6A1B" w:rsidRPr="007431A6" w:rsidRDefault="00EB6A1B" w:rsidP="00EB6A1B">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154F6F99" w14:textId="77777777" w:rsidR="00EB6A1B" w:rsidRPr="007431A6" w:rsidRDefault="00EB6A1B" w:rsidP="00EB6A1B">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2379061E" w14:textId="77777777" w:rsidR="00EB6A1B" w:rsidRDefault="00EB6A1B" w:rsidP="00EB6A1B">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74EC75F3" w14:textId="77777777" w:rsidR="00EB6A1B" w:rsidRDefault="00EB6A1B" w:rsidP="00EB6A1B">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2E75EF4D" w14:textId="77777777" w:rsidR="00EB6A1B" w:rsidRPr="00213E6C" w:rsidRDefault="00EB6A1B" w:rsidP="00EB6A1B">
      <w:pPr>
        <w:spacing w:line="360" w:lineRule="auto"/>
        <w:jc w:val="both"/>
        <w:rPr>
          <w:b/>
          <w:bCs/>
          <w:sz w:val="24"/>
          <w:szCs w:val="24"/>
        </w:rPr>
      </w:pPr>
      <w:r w:rsidRPr="00213E6C">
        <w:rPr>
          <w:b/>
          <w:bCs/>
          <w:sz w:val="24"/>
          <w:szCs w:val="24"/>
        </w:rPr>
        <w:t>1. Monthly Trends by Issue Date (Line Chart):</w:t>
      </w:r>
    </w:p>
    <w:p w14:paraId="7D6A38E8" w14:textId="77777777" w:rsidR="00EB6A1B" w:rsidRPr="00213E6C" w:rsidRDefault="00EB6A1B" w:rsidP="00EB6A1B">
      <w:pPr>
        <w:spacing w:line="360" w:lineRule="auto"/>
        <w:jc w:val="both"/>
        <w:rPr>
          <w:sz w:val="24"/>
          <w:szCs w:val="24"/>
        </w:rPr>
      </w:pPr>
      <w:r w:rsidRPr="00213E6C">
        <w:rPr>
          <w:sz w:val="24"/>
          <w:szCs w:val="24"/>
        </w:rPr>
        <w:t>Chart Type: Line Chart</w:t>
      </w:r>
    </w:p>
    <w:p w14:paraId="6F16179C" w14:textId="77777777" w:rsidR="00EB6A1B" w:rsidRPr="00213E6C" w:rsidRDefault="00EB6A1B" w:rsidP="00EB6A1B">
      <w:pPr>
        <w:spacing w:line="360" w:lineRule="auto"/>
        <w:jc w:val="both"/>
        <w:rPr>
          <w:sz w:val="24"/>
          <w:szCs w:val="24"/>
        </w:rPr>
      </w:pPr>
      <w:r w:rsidRPr="00213E6C">
        <w:rPr>
          <w:sz w:val="24"/>
          <w:szCs w:val="24"/>
        </w:rPr>
        <w:t>Metrics: 'Total Loan Applications,' 'Total Funded Amount,' and 'Total Amount Received'</w:t>
      </w:r>
    </w:p>
    <w:p w14:paraId="3D94BB46" w14:textId="77777777" w:rsidR="00EB6A1B" w:rsidRPr="00213E6C" w:rsidRDefault="00EB6A1B" w:rsidP="00EB6A1B">
      <w:pPr>
        <w:spacing w:line="360" w:lineRule="auto"/>
        <w:jc w:val="both"/>
        <w:rPr>
          <w:sz w:val="24"/>
          <w:szCs w:val="24"/>
        </w:rPr>
      </w:pPr>
      <w:r w:rsidRPr="00213E6C">
        <w:rPr>
          <w:sz w:val="24"/>
          <w:szCs w:val="24"/>
        </w:rPr>
        <w:t>X-Axis: Month (based on 'Issue Date')</w:t>
      </w:r>
    </w:p>
    <w:p w14:paraId="0DE15329" w14:textId="77777777" w:rsidR="00EB6A1B" w:rsidRPr="00213E6C" w:rsidRDefault="00EB6A1B" w:rsidP="00EB6A1B">
      <w:pPr>
        <w:spacing w:line="360" w:lineRule="auto"/>
        <w:jc w:val="both"/>
        <w:rPr>
          <w:sz w:val="24"/>
          <w:szCs w:val="24"/>
        </w:rPr>
      </w:pPr>
      <w:r w:rsidRPr="00213E6C">
        <w:rPr>
          <w:sz w:val="24"/>
          <w:szCs w:val="24"/>
        </w:rPr>
        <w:t>Y-Axis: Metrics' Values</w:t>
      </w:r>
    </w:p>
    <w:p w14:paraId="1840007F" w14:textId="77777777" w:rsidR="00EB6A1B" w:rsidRPr="00213E6C" w:rsidRDefault="00EB6A1B" w:rsidP="00EB6A1B">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6A5FCF3E" w14:textId="77777777" w:rsidR="00EB6A1B" w:rsidRPr="00213E6C" w:rsidRDefault="00EB6A1B" w:rsidP="00EB6A1B">
      <w:pPr>
        <w:spacing w:line="360" w:lineRule="auto"/>
        <w:jc w:val="both"/>
        <w:rPr>
          <w:b/>
          <w:bCs/>
          <w:sz w:val="24"/>
          <w:szCs w:val="24"/>
        </w:rPr>
      </w:pPr>
      <w:r w:rsidRPr="00213E6C">
        <w:rPr>
          <w:b/>
          <w:bCs/>
          <w:sz w:val="24"/>
          <w:szCs w:val="24"/>
        </w:rPr>
        <w:t>2. Regional Analysis by State (Filled Map):</w:t>
      </w:r>
    </w:p>
    <w:p w14:paraId="789E65D2" w14:textId="77777777" w:rsidR="00EB6A1B" w:rsidRPr="00213E6C" w:rsidRDefault="00EB6A1B" w:rsidP="00EB6A1B">
      <w:pPr>
        <w:spacing w:line="360" w:lineRule="auto"/>
        <w:jc w:val="both"/>
        <w:rPr>
          <w:sz w:val="24"/>
          <w:szCs w:val="24"/>
        </w:rPr>
      </w:pPr>
      <w:r w:rsidRPr="00213E6C">
        <w:rPr>
          <w:sz w:val="24"/>
          <w:szCs w:val="24"/>
        </w:rPr>
        <w:t>Chart Type: Filled Map</w:t>
      </w:r>
    </w:p>
    <w:p w14:paraId="6FB5237F" w14:textId="77777777" w:rsidR="00EB6A1B" w:rsidRPr="00213E6C" w:rsidRDefault="00EB6A1B" w:rsidP="00EB6A1B">
      <w:pPr>
        <w:spacing w:line="360" w:lineRule="auto"/>
        <w:jc w:val="both"/>
        <w:rPr>
          <w:sz w:val="24"/>
          <w:szCs w:val="24"/>
        </w:rPr>
      </w:pPr>
      <w:r w:rsidRPr="00213E6C">
        <w:rPr>
          <w:sz w:val="24"/>
          <w:szCs w:val="24"/>
        </w:rPr>
        <w:t>Metrics: 'Total Loan Applications,' 'Total Funded Amount,' and 'Total Amount Received'</w:t>
      </w:r>
    </w:p>
    <w:p w14:paraId="131FA2DF" w14:textId="77777777" w:rsidR="00EB6A1B" w:rsidRPr="00213E6C" w:rsidRDefault="00EB6A1B" w:rsidP="00EB6A1B">
      <w:pPr>
        <w:spacing w:line="360" w:lineRule="auto"/>
        <w:jc w:val="both"/>
        <w:rPr>
          <w:sz w:val="24"/>
          <w:szCs w:val="24"/>
        </w:rPr>
      </w:pPr>
      <w:r w:rsidRPr="00213E6C">
        <w:rPr>
          <w:sz w:val="24"/>
          <w:szCs w:val="24"/>
        </w:rPr>
        <w:t>Geographic Regions: States</w:t>
      </w:r>
    </w:p>
    <w:p w14:paraId="3FB7EF7F" w14:textId="77777777" w:rsidR="00EB6A1B" w:rsidRPr="00213E6C" w:rsidRDefault="00EB6A1B" w:rsidP="00EB6A1B">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0E6BB49B" w14:textId="77777777" w:rsidR="00EB6A1B" w:rsidRPr="00213E6C" w:rsidRDefault="00EB6A1B" w:rsidP="00EB6A1B">
      <w:pPr>
        <w:spacing w:line="360" w:lineRule="auto"/>
        <w:jc w:val="both"/>
        <w:rPr>
          <w:b/>
          <w:bCs/>
          <w:sz w:val="24"/>
          <w:szCs w:val="24"/>
        </w:rPr>
      </w:pPr>
      <w:r w:rsidRPr="00213E6C">
        <w:rPr>
          <w:b/>
          <w:bCs/>
          <w:sz w:val="24"/>
          <w:szCs w:val="24"/>
        </w:rPr>
        <w:t>3. Loan Term Analysis (Donut Chart):</w:t>
      </w:r>
    </w:p>
    <w:p w14:paraId="54FC4D23" w14:textId="77777777" w:rsidR="00EB6A1B" w:rsidRPr="00213E6C" w:rsidRDefault="00EB6A1B" w:rsidP="00EB6A1B">
      <w:pPr>
        <w:spacing w:line="360" w:lineRule="auto"/>
        <w:jc w:val="both"/>
        <w:rPr>
          <w:sz w:val="24"/>
          <w:szCs w:val="24"/>
        </w:rPr>
      </w:pPr>
      <w:r w:rsidRPr="00213E6C">
        <w:rPr>
          <w:sz w:val="24"/>
          <w:szCs w:val="24"/>
        </w:rPr>
        <w:t>Chart Type: Donut Chart</w:t>
      </w:r>
    </w:p>
    <w:p w14:paraId="6E2825B5" w14:textId="77777777" w:rsidR="00EB6A1B" w:rsidRPr="00213E6C" w:rsidRDefault="00EB6A1B" w:rsidP="00EB6A1B">
      <w:pPr>
        <w:spacing w:line="360" w:lineRule="auto"/>
        <w:jc w:val="both"/>
        <w:rPr>
          <w:sz w:val="24"/>
          <w:szCs w:val="24"/>
        </w:rPr>
      </w:pPr>
      <w:r w:rsidRPr="00213E6C">
        <w:rPr>
          <w:sz w:val="24"/>
          <w:szCs w:val="24"/>
        </w:rPr>
        <w:t>Metrics: 'Total Loan Applications,' 'Total Funded Amount,' and 'Total Amount Received'</w:t>
      </w:r>
    </w:p>
    <w:p w14:paraId="153B8379" w14:textId="77777777" w:rsidR="00EB6A1B" w:rsidRPr="00213E6C" w:rsidRDefault="00EB6A1B" w:rsidP="00EB6A1B">
      <w:pPr>
        <w:spacing w:line="360" w:lineRule="auto"/>
        <w:jc w:val="both"/>
        <w:rPr>
          <w:sz w:val="24"/>
          <w:szCs w:val="24"/>
        </w:rPr>
      </w:pPr>
      <w:r w:rsidRPr="00213E6C">
        <w:rPr>
          <w:sz w:val="24"/>
          <w:szCs w:val="24"/>
        </w:rPr>
        <w:t>Segments: Loan Terms (e.g., 36 months, 60 months)</w:t>
      </w:r>
    </w:p>
    <w:p w14:paraId="272F7008" w14:textId="77777777" w:rsidR="00EB6A1B" w:rsidRPr="00213E6C" w:rsidRDefault="00EB6A1B" w:rsidP="00EB6A1B">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61E9A9C9" w14:textId="77777777" w:rsidR="00EB6A1B" w:rsidRPr="00213E6C" w:rsidRDefault="00EB6A1B" w:rsidP="00EB6A1B">
      <w:pPr>
        <w:spacing w:line="360" w:lineRule="auto"/>
        <w:jc w:val="both"/>
        <w:rPr>
          <w:b/>
          <w:bCs/>
          <w:sz w:val="24"/>
          <w:szCs w:val="24"/>
        </w:rPr>
      </w:pPr>
      <w:r w:rsidRPr="00213E6C">
        <w:rPr>
          <w:b/>
          <w:bCs/>
          <w:sz w:val="24"/>
          <w:szCs w:val="24"/>
        </w:rPr>
        <w:t>4. Employee Length Analysis (Bar Chart):</w:t>
      </w:r>
    </w:p>
    <w:p w14:paraId="5C237DC7" w14:textId="77777777" w:rsidR="00EB6A1B" w:rsidRPr="00213E6C" w:rsidRDefault="00EB6A1B" w:rsidP="00EB6A1B">
      <w:pPr>
        <w:spacing w:line="360" w:lineRule="auto"/>
        <w:jc w:val="both"/>
        <w:rPr>
          <w:sz w:val="24"/>
          <w:szCs w:val="24"/>
        </w:rPr>
      </w:pPr>
      <w:r w:rsidRPr="00213E6C">
        <w:rPr>
          <w:sz w:val="24"/>
          <w:szCs w:val="24"/>
        </w:rPr>
        <w:t>Chart Type: Bar Chart</w:t>
      </w:r>
    </w:p>
    <w:p w14:paraId="589D1B80" w14:textId="77777777" w:rsidR="00EB6A1B" w:rsidRPr="00213E6C" w:rsidRDefault="00EB6A1B" w:rsidP="00EB6A1B">
      <w:pPr>
        <w:spacing w:line="360" w:lineRule="auto"/>
        <w:jc w:val="both"/>
        <w:rPr>
          <w:sz w:val="24"/>
          <w:szCs w:val="24"/>
        </w:rPr>
      </w:pPr>
      <w:r w:rsidRPr="00213E6C">
        <w:rPr>
          <w:sz w:val="24"/>
          <w:szCs w:val="24"/>
        </w:rPr>
        <w:t>Metrics: 'Total Loan Applications,' 'Total Funded Amount,' and 'Total Amount Received'</w:t>
      </w:r>
    </w:p>
    <w:p w14:paraId="1E34E008" w14:textId="77777777" w:rsidR="00EB6A1B" w:rsidRPr="00213E6C" w:rsidRDefault="00EB6A1B" w:rsidP="00EB6A1B">
      <w:pPr>
        <w:spacing w:line="360" w:lineRule="auto"/>
        <w:jc w:val="both"/>
        <w:rPr>
          <w:sz w:val="24"/>
          <w:szCs w:val="24"/>
        </w:rPr>
      </w:pPr>
      <w:r w:rsidRPr="00213E6C">
        <w:rPr>
          <w:sz w:val="24"/>
          <w:szCs w:val="24"/>
        </w:rPr>
        <w:t>X-Axis: Employee Length Categories (e.g., 1 year, 5 years, 10+ years)</w:t>
      </w:r>
    </w:p>
    <w:p w14:paraId="6D836746" w14:textId="77777777" w:rsidR="00EB6A1B" w:rsidRPr="00213E6C" w:rsidRDefault="00EB6A1B" w:rsidP="00EB6A1B">
      <w:pPr>
        <w:spacing w:line="360" w:lineRule="auto"/>
        <w:jc w:val="both"/>
        <w:rPr>
          <w:sz w:val="24"/>
          <w:szCs w:val="24"/>
        </w:rPr>
      </w:pPr>
      <w:r w:rsidRPr="00213E6C">
        <w:rPr>
          <w:sz w:val="24"/>
          <w:szCs w:val="24"/>
        </w:rPr>
        <w:t>Y-Axis: Metrics' Values</w:t>
      </w:r>
    </w:p>
    <w:p w14:paraId="651DD67F" w14:textId="77777777" w:rsidR="00EB6A1B" w:rsidRPr="00213E6C" w:rsidRDefault="00EB6A1B" w:rsidP="00EB6A1B">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44BABFE5" w14:textId="77777777" w:rsidR="00EB6A1B" w:rsidRPr="00213E6C" w:rsidRDefault="00EB6A1B" w:rsidP="00EB6A1B">
      <w:pPr>
        <w:spacing w:line="360" w:lineRule="auto"/>
        <w:jc w:val="both"/>
        <w:rPr>
          <w:b/>
          <w:bCs/>
          <w:sz w:val="24"/>
          <w:szCs w:val="24"/>
        </w:rPr>
      </w:pPr>
      <w:r w:rsidRPr="00213E6C">
        <w:rPr>
          <w:b/>
          <w:bCs/>
          <w:sz w:val="24"/>
          <w:szCs w:val="24"/>
        </w:rPr>
        <w:t>5. Loan Purpose Breakdown (Bar Chart):</w:t>
      </w:r>
    </w:p>
    <w:p w14:paraId="4B609466" w14:textId="77777777" w:rsidR="00EB6A1B" w:rsidRPr="00213E6C" w:rsidRDefault="00EB6A1B" w:rsidP="00EB6A1B">
      <w:pPr>
        <w:spacing w:line="360" w:lineRule="auto"/>
        <w:jc w:val="both"/>
        <w:rPr>
          <w:sz w:val="24"/>
          <w:szCs w:val="24"/>
        </w:rPr>
      </w:pPr>
      <w:r w:rsidRPr="00213E6C">
        <w:rPr>
          <w:sz w:val="24"/>
          <w:szCs w:val="24"/>
        </w:rPr>
        <w:t>Chart Type: Bar Chart</w:t>
      </w:r>
    </w:p>
    <w:p w14:paraId="5329EF96" w14:textId="77777777" w:rsidR="00EB6A1B" w:rsidRPr="00213E6C" w:rsidRDefault="00EB6A1B" w:rsidP="00EB6A1B">
      <w:pPr>
        <w:spacing w:line="360" w:lineRule="auto"/>
        <w:jc w:val="both"/>
        <w:rPr>
          <w:sz w:val="24"/>
          <w:szCs w:val="24"/>
        </w:rPr>
      </w:pPr>
      <w:r w:rsidRPr="00213E6C">
        <w:rPr>
          <w:sz w:val="24"/>
          <w:szCs w:val="24"/>
        </w:rPr>
        <w:t>Metrics: 'Total Loan Applications,' 'Total Funded Amount,' and 'Total Amount Received'</w:t>
      </w:r>
    </w:p>
    <w:p w14:paraId="0AD921DD" w14:textId="77777777" w:rsidR="00EB6A1B" w:rsidRPr="00213E6C" w:rsidRDefault="00EB6A1B" w:rsidP="00EB6A1B">
      <w:pPr>
        <w:spacing w:line="360" w:lineRule="auto"/>
        <w:jc w:val="both"/>
        <w:rPr>
          <w:sz w:val="24"/>
          <w:szCs w:val="24"/>
        </w:rPr>
      </w:pPr>
      <w:r w:rsidRPr="00213E6C">
        <w:rPr>
          <w:sz w:val="24"/>
          <w:szCs w:val="24"/>
        </w:rPr>
        <w:t>X-Axis: Loan Purpose Categories (e.g., debt consolidation, credit card refinancing)</w:t>
      </w:r>
    </w:p>
    <w:p w14:paraId="46F4E2FE" w14:textId="77777777" w:rsidR="00EB6A1B" w:rsidRPr="00213E6C" w:rsidRDefault="00EB6A1B" w:rsidP="00EB6A1B">
      <w:pPr>
        <w:spacing w:line="360" w:lineRule="auto"/>
        <w:jc w:val="both"/>
        <w:rPr>
          <w:sz w:val="24"/>
          <w:szCs w:val="24"/>
        </w:rPr>
      </w:pPr>
      <w:r w:rsidRPr="00213E6C">
        <w:rPr>
          <w:sz w:val="24"/>
          <w:szCs w:val="24"/>
        </w:rPr>
        <w:t>Y-Axis: Metrics' Values</w:t>
      </w:r>
    </w:p>
    <w:p w14:paraId="3BB4FD98" w14:textId="77777777" w:rsidR="00EB6A1B" w:rsidRDefault="00EB6A1B" w:rsidP="00EB6A1B">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29718976" w14:textId="77777777" w:rsidR="00EB6A1B" w:rsidRPr="00213E6C" w:rsidRDefault="00EB6A1B" w:rsidP="00EB6A1B">
      <w:pPr>
        <w:spacing w:line="360" w:lineRule="auto"/>
        <w:jc w:val="both"/>
        <w:rPr>
          <w:i/>
          <w:iCs/>
          <w:sz w:val="24"/>
          <w:szCs w:val="24"/>
        </w:rPr>
      </w:pPr>
    </w:p>
    <w:p w14:paraId="03B33429" w14:textId="77777777" w:rsidR="00EB6A1B" w:rsidRPr="00213E6C" w:rsidRDefault="00EB6A1B" w:rsidP="00EB6A1B">
      <w:pPr>
        <w:spacing w:line="360" w:lineRule="auto"/>
        <w:jc w:val="both"/>
        <w:rPr>
          <w:b/>
          <w:bCs/>
          <w:sz w:val="24"/>
          <w:szCs w:val="24"/>
        </w:rPr>
      </w:pPr>
      <w:r w:rsidRPr="00213E6C">
        <w:rPr>
          <w:b/>
          <w:bCs/>
          <w:sz w:val="24"/>
          <w:szCs w:val="24"/>
        </w:rPr>
        <w:lastRenderedPageBreak/>
        <w:t>6. Home Ownership Analysis (Tree Map):</w:t>
      </w:r>
    </w:p>
    <w:p w14:paraId="0CE4B688" w14:textId="77777777" w:rsidR="00EB6A1B" w:rsidRPr="00213E6C" w:rsidRDefault="00EB6A1B" w:rsidP="00EB6A1B">
      <w:pPr>
        <w:spacing w:line="360" w:lineRule="auto"/>
        <w:jc w:val="both"/>
        <w:rPr>
          <w:sz w:val="24"/>
          <w:szCs w:val="24"/>
        </w:rPr>
      </w:pPr>
      <w:r w:rsidRPr="00213E6C">
        <w:rPr>
          <w:sz w:val="24"/>
          <w:szCs w:val="24"/>
        </w:rPr>
        <w:t>Chart Type: Tree Map</w:t>
      </w:r>
    </w:p>
    <w:p w14:paraId="3D3B2445" w14:textId="77777777" w:rsidR="00EB6A1B" w:rsidRPr="00213E6C" w:rsidRDefault="00EB6A1B" w:rsidP="00EB6A1B">
      <w:pPr>
        <w:spacing w:line="360" w:lineRule="auto"/>
        <w:jc w:val="both"/>
        <w:rPr>
          <w:sz w:val="24"/>
          <w:szCs w:val="24"/>
        </w:rPr>
      </w:pPr>
      <w:r w:rsidRPr="00213E6C">
        <w:rPr>
          <w:sz w:val="24"/>
          <w:szCs w:val="24"/>
        </w:rPr>
        <w:t>Metrics: 'Total Loan Applications,' 'Total Funded Amount,' and 'Total Amount Received'</w:t>
      </w:r>
    </w:p>
    <w:p w14:paraId="20EB52FF" w14:textId="77777777" w:rsidR="00EB6A1B" w:rsidRPr="00213E6C" w:rsidRDefault="00EB6A1B" w:rsidP="00EB6A1B">
      <w:pPr>
        <w:spacing w:line="360" w:lineRule="auto"/>
        <w:jc w:val="both"/>
        <w:rPr>
          <w:sz w:val="24"/>
          <w:szCs w:val="24"/>
        </w:rPr>
      </w:pPr>
      <w:r w:rsidRPr="00213E6C">
        <w:rPr>
          <w:sz w:val="24"/>
          <w:szCs w:val="24"/>
        </w:rPr>
        <w:t>Hierarchy: Home Ownership Categories (e.g., own, rent, mortgage)</w:t>
      </w:r>
    </w:p>
    <w:p w14:paraId="7EDBB1A3" w14:textId="77777777" w:rsidR="00EB6A1B" w:rsidRPr="00213E6C" w:rsidRDefault="00EB6A1B" w:rsidP="00EB6A1B">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D3AB279" w14:textId="77777777" w:rsidR="00EB6A1B" w:rsidRPr="00213E6C" w:rsidRDefault="00EB6A1B" w:rsidP="00EB6A1B">
      <w:pPr>
        <w:spacing w:line="360" w:lineRule="auto"/>
        <w:jc w:val="both"/>
        <w:rPr>
          <w:color w:val="2F5496" w:themeColor="accent5" w:themeShade="BF"/>
          <w:sz w:val="24"/>
          <w:szCs w:val="24"/>
        </w:rPr>
      </w:pPr>
      <w:r w:rsidRPr="00213E6C">
        <w:rPr>
          <w:color w:val="2F5496"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5FDDBA53" w14:textId="77777777" w:rsidR="00EB6A1B" w:rsidRDefault="00EB6A1B" w:rsidP="00EB6A1B">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41F158" w14:textId="77777777" w:rsidR="00EB6A1B" w:rsidRPr="00536320" w:rsidRDefault="00EB6A1B" w:rsidP="00EB6A1B">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74D4AC16" w14:textId="77777777" w:rsidR="00EB6A1B" w:rsidRPr="00D93137" w:rsidRDefault="00EB6A1B" w:rsidP="00EB6A1B">
      <w:pPr>
        <w:spacing w:line="360" w:lineRule="auto"/>
        <w:jc w:val="both"/>
        <w:rPr>
          <w:i/>
          <w:iCs/>
          <w:sz w:val="24"/>
          <w:szCs w:val="24"/>
        </w:rPr>
      </w:pPr>
      <w:r w:rsidRPr="00D93137">
        <w:rPr>
          <w:i/>
          <w:iCs/>
          <w:sz w:val="24"/>
          <w:szCs w:val="24"/>
        </w:rPr>
        <w:t>Objective:</w:t>
      </w:r>
    </w:p>
    <w:p w14:paraId="1DDAB025" w14:textId="77777777" w:rsidR="00EB6A1B" w:rsidRPr="00D93137" w:rsidRDefault="00EB6A1B" w:rsidP="00EB6A1B">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2D4D7D1" w14:textId="77777777" w:rsidR="00A4427F" w:rsidRDefault="00A4427F"/>
    <w:sectPr w:rsidR="00A44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A1B"/>
    <w:rsid w:val="00A4427F"/>
    <w:rsid w:val="00BF4DE9"/>
    <w:rsid w:val="00EB6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A5F6"/>
  <w15:chartTrackingRefBased/>
  <w15:docId w15:val="{270C0B5F-240A-47AF-ABFC-7AE38D06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A1B"/>
    <w:rPr>
      <w:kern w:val="2"/>
      <w14:ligatures w14:val="standardContextual"/>
    </w:rPr>
  </w:style>
  <w:style w:type="paragraph" w:styleId="Heading1">
    <w:name w:val="heading 1"/>
    <w:basedOn w:val="Normal"/>
    <w:next w:val="Normal"/>
    <w:link w:val="Heading1Char"/>
    <w:uiPriority w:val="9"/>
    <w:qFormat/>
    <w:rsid w:val="00EB6A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6A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B6A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6A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6A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6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A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6A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B6A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6A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6A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6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A1B"/>
    <w:rPr>
      <w:rFonts w:eastAsiaTheme="majorEastAsia" w:cstheme="majorBidi"/>
      <w:color w:val="272727" w:themeColor="text1" w:themeTint="D8"/>
    </w:rPr>
  </w:style>
  <w:style w:type="paragraph" w:styleId="Title">
    <w:name w:val="Title"/>
    <w:basedOn w:val="Normal"/>
    <w:next w:val="Normal"/>
    <w:link w:val="TitleChar"/>
    <w:uiPriority w:val="10"/>
    <w:qFormat/>
    <w:rsid w:val="00EB6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A1B"/>
    <w:pPr>
      <w:spacing w:before="160"/>
      <w:jc w:val="center"/>
    </w:pPr>
    <w:rPr>
      <w:i/>
      <w:iCs/>
      <w:color w:val="404040" w:themeColor="text1" w:themeTint="BF"/>
    </w:rPr>
  </w:style>
  <w:style w:type="character" w:customStyle="1" w:styleId="QuoteChar">
    <w:name w:val="Quote Char"/>
    <w:basedOn w:val="DefaultParagraphFont"/>
    <w:link w:val="Quote"/>
    <w:uiPriority w:val="29"/>
    <w:rsid w:val="00EB6A1B"/>
    <w:rPr>
      <w:i/>
      <w:iCs/>
      <w:color w:val="404040" w:themeColor="text1" w:themeTint="BF"/>
    </w:rPr>
  </w:style>
  <w:style w:type="paragraph" w:styleId="ListParagraph">
    <w:name w:val="List Paragraph"/>
    <w:basedOn w:val="Normal"/>
    <w:uiPriority w:val="34"/>
    <w:qFormat/>
    <w:rsid w:val="00EB6A1B"/>
    <w:pPr>
      <w:ind w:left="720"/>
      <w:contextualSpacing/>
    </w:pPr>
  </w:style>
  <w:style w:type="character" w:styleId="IntenseEmphasis">
    <w:name w:val="Intense Emphasis"/>
    <w:basedOn w:val="DefaultParagraphFont"/>
    <w:uiPriority w:val="21"/>
    <w:qFormat/>
    <w:rsid w:val="00EB6A1B"/>
    <w:rPr>
      <w:i/>
      <w:iCs/>
      <w:color w:val="2E74B5" w:themeColor="accent1" w:themeShade="BF"/>
    </w:rPr>
  </w:style>
  <w:style w:type="paragraph" w:styleId="IntenseQuote">
    <w:name w:val="Intense Quote"/>
    <w:basedOn w:val="Normal"/>
    <w:next w:val="Normal"/>
    <w:link w:val="IntenseQuoteChar"/>
    <w:uiPriority w:val="30"/>
    <w:qFormat/>
    <w:rsid w:val="00EB6A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6A1B"/>
    <w:rPr>
      <w:i/>
      <w:iCs/>
      <w:color w:val="2E74B5" w:themeColor="accent1" w:themeShade="BF"/>
    </w:rPr>
  </w:style>
  <w:style w:type="character" w:styleId="IntenseReference">
    <w:name w:val="Intense Reference"/>
    <w:basedOn w:val="DefaultParagraphFont"/>
    <w:uiPriority w:val="32"/>
    <w:qFormat/>
    <w:rsid w:val="00EB6A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1165</Words>
  <Characters>6646</Characters>
  <Application>Microsoft Office Word</Application>
  <DocSecurity>0</DocSecurity>
  <Lines>55</Lines>
  <Paragraphs>15</Paragraphs>
  <ScaleCrop>false</ScaleCrop>
  <Company>HP</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dc:creator>
  <cp:keywords/>
  <dc:description/>
  <cp:lastModifiedBy>Bhumika</cp:lastModifiedBy>
  <cp:revision>1</cp:revision>
  <dcterms:created xsi:type="dcterms:W3CDTF">2026-04-16T09:49:00Z</dcterms:created>
  <dcterms:modified xsi:type="dcterms:W3CDTF">2026-04-16T09:50:00Z</dcterms:modified>
</cp:coreProperties>
</file>