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ks1ezjlb66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Data Science Assignment – Trader Behavior Insights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Candidate: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Bhumika Tusamad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presents my submission for the </w:t>
      </w:r>
      <w:r w:rsidDel="00000000" w:rsidR="00000000" w:rsidRPr="00000000">
        <w:rPr>
          <w:b w:val="1"/>
          <w:rtl w:val="0"/>
        </w:rPr>
        <w:t xml:space="preserve">Web3 Trading Data Science Internship</w:t>
      </w:r>
      <w:r w:rsidDel="00000000" w:rsidR="00000000" w:rsidRPr="00000000">
        <w:rPr>
          <w:rtl w:val="0"/>
        </w:rPr>
        <w:t xml:space="preserve">. The goal of this analysis was to explore how </w:t>
      </w:r>
      <w:r w:rsidDel="00000000" w:rsidR="00000000" w:rsidRPr="00000000">
        <w:rPr>
          <w:b w:val="1"/>
          <w:rtl w:val="0"/>
        </w:rPr>
        <w:t xml:space="preserve">trader behavior</w:t>
      </w:r>
      <w:r w:rsidDel="00000000" w:rsidR="00000000" w:rsidRPr="00000000">
        <w:rPr>
          <w:rtl w:val="0"/>
        </w:rPr>
        <w:t xml:space="preserve"> interacts with </w:t>
      </w:r>
      <w:r w:rsidDel="00000000" w:rsidR="00000000" w:rsidRPr="00000000">
        <w:rPr>
          <w:b w:val="1"/>
          <w:rtl w:val="0"/>
        </w:rPr>
        <w:t xml:space="preserve">Bitcoin market sentiment</w:t>
      </w:r>
      <w:r w:rsidDel="00000000" w:rsidR="00000000" w:rsidRPr="00000000">
        <w:rPr>
          <w:rtl w:val="0"/>
        </w:rPr>
        <w:t xml:space="preserve"> and uncover patterns that could inform smarter trading strategies.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analysis focuses on understanding: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trader </w:t>
      </w:r>
      <w:r w:rsidDel="00000000" w:rsidR="00000000" w:rsidRPr="00000000">
        <w:rPr>
          <w:b w:val="1"/>
          <w:rtl w:val="0"/>
        </w:rPr>
        <w:t xml:space="preserve">profitability</w:t>
      </w:r>
      <w:r w:rsidDel="00000000" w:rsidR="00000000" w:rsidRPr="00000000">
        <w:rPr>
          <w:rtl w:val="0"/>
        </w:rPr>
        <w:t xml:space="preserve"> varies with market sentiment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Differences in </w:t>
      </w:r>
      <w:r w:rsidDel="00000000" w:rsidR="00000000" w:rsidRPr="00000000">
        <w:rPr>
          <w:b w:val="1"/>
          <w:rtl w:val="0"/>
        </w:rPr>
        <w:t xml:space="preserve">trade sizes</w:t>
      </w:r>
      <w:r w:rsidDel="00000000" w:rsidR="00000000" w:rsidRPr="00000000">
        <w:rPr>
          <w:rtl w:val="0"/>
        </w:rPr>
        <w:t xml:space="preserve"> across different market conditions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Buy/Sell behavior of traders in relation to Fear and Greed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Trends and insights that could influence trading decisions</w:t>
        <w:br w:type="textWrapping"/>
      </w:r>
    </w:p>
    <w:p w:rsidR="00000000" w:rsidDel="00000000" w:rsidP="00000000" w:rsidRDefault="00000000" w:rsidRPr="00000000" w14:paraId="0000000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Datasets Used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Trader Data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trader_data.csv</w:t>
      </w:r>
      <w:r w:rsidDel="00000000" w:rsidR="00000000" w:rsidRPr="00000000">
        <w:rPr>
          <w:b w:val="1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Contains historical trades from Hyperliquid including trade size, execution price, trade direction, and closed PnL.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Sentiment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bitcoin_sentiment.csv</w:t>
      </w:r>
      <w:r w:rsidDel="00000000" w:rsidR="00000000" w:rsidRPr="00000000">
        <w:rPr>
          <w:b w:val="1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the Bitcoin Fear &amp; Greed Index for each day, showing overall market sentiment.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Folder Structure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assignment follows a structured format for clarity and reproducibility: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notebook_1.ipynb</w:t>
      </w:r>
      <w:r w:rsidDel="00000000" w:rsidR="00000000" w:rsidRPr="00000000">
        <w:rPr>
          <w:rtl w:val="0"/>
        </w:rPr>
        <w:t xml:space="preserve"> – Main Colab notebook containing all analysis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csv_files/</w:t>
      </w:r>
      <w:r w:rsidDel="00000000" w:rsidR="00000000" w:rsidRPr="00000000">
        <w:rPr>
          <w:rtl w:val="0"/>
        </w:rPr>
        <w:t xml:space="preserve"> – Contains the raw datasets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trader_data.csv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bitcoin_sentiment.csv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outputs/</w:t>
      </w:r>
      <w:r w:rsidDel="00000000" w:rsidR="00000000" w:rsidRPr="00000000">
        <w:rPr>
          <w:rtl w:val="0"/>
        </w:rPr>
        <w:t xml:space="preserve"> – Includes charts and the final report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ds_report.pdf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avg_profit_by_sentiment.png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avg_size_by_sentiment.png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buy_sell_by_sentiment.png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– This document</w:t>
        <w:br w:type="textWrapping"/>
      </w:r>
    </w:p>
    <w:p w:rsidR="00000000" w:rsidDel="00000000" w:rsidP="00000000" w:rsidRDefault="00000000" w:rsidRPr="00000000" w14:paraId="0000001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How to Use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notebook_1.ipynb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Google Colab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Mount Google Drive if needed to access the CSV files.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all cells sequentially to reproduce the analysis and visualizations.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Charts and report are stored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outputs/</w:t>
      </w:r>
      <w:r w:rsidDel="00000000" w:rsidR="00000000" w:rsidRPr="00000000">
        <w:rPr>
          <w:rtl w:val="0"/>
        </w:rPr>
        <w:t xml:space="preserve"> folder for reference.</w:t>
        <w:br w:type="textWrapping"/>
      </w:r>
    </w:p>
    <w:p w:rsidR="00000000" w:rsidDel="00000000" w:rsidP="00000000" w:rsidRDefault="00000000" w:rsidRPr="00000000" w14:paraId="0000002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Key Insights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Traders are generally </w:t>
      </w:r>
      <w:r w:rsidDel="00000000" w:rsidR="00000000" w:rsidRPr="00000000">
        <w:rPr>
          <w:b w:val="1"/>
          <w:rtl w:val="0"/>
        </w:rPr>
        <w:t xml:space="preserve">most profitable during Greed</w:t>
      </w:r>
      <w:r w:rsidDel="00000000" w:rsidR="00000000" w:rsidRPr="00000000">
        <w:rPr>
          <w:rtl w:val="0"/>
        </w:rPr>
        <w:t xml:space="preserve"> periods.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Trade sizes</w:t>
      </w:r>
      <w:r w:rsidDel="00000000" w:rsidR="00000000" w:rsidRPr="00000000">
        <w:rPr>
          <w:rtl w:val="0"/>
        </w:rPr>
        <w:t xml:space="preserve"> tend to be larger during Greed and smaller during Extreme Fear, reflecting cautious behavior in extreme market conditions.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Buy trades</w:t>
      </w:r>
      <w:r w:rsidDel="00000000" w:rsidR="00000000" w:rsidRPr="00000000">
        <w:rPr>
          <w:rtl w:val="0"/>
        </w:rPr>
        <w:t xml:space="preserve"> dominate during Fear periods, suggesting traders often attempt to “buy the dip.”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Sell trades</w:t>
      </w:r>
      <w:r w:rsidDel="00000000" w:rsidR="00000000" w:rsidRPr="00000000">
        <w:rPr>
          <w:rtl w:val="0"/>
        </w:rPr>
        <w:t xml:space="preserve"> dominate during Extreme Greed periods, indicating profit-taking behavior.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Overall, trader behavior </w:t>
      </w:r>
      <w:r w:rsidDel="00000000" w:rsidR="00000000" w:rsidRPr="00000000">
        <w:rPr>
          <w:b w:val="1"/>
          <w:rtl w:val="0"/>
        </w:rPr>
        <w:t xml:space="preserve">partially aligns with market sentiment</w:t>
      </w:r>
      <w:r w:rsidDel="00000000" w:rsidR="00000000" w:rsidRPr="00000000">
        <w:rPr>
          <w:rtl w:val="0"/>
        </w:rPr>
        <w:t xml:space="preserve">, offering actionable insights for smarter trading strategies.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Additional Notes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Analysis was conducted in </w:t>
      </w:r>
      <w:r w:rsidDel="00000000" w:rsidR="00000000" w:rsidRPr="00000000">
        <w:rPr>
          <w:b w:val="1"/>
          <w:rtl w:val="0"/>
        </w:rPr>
        <w:t xml:space="preserve">Python 3.12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seaborn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report is structured to make the analysis </w:t>
      </w:r>
      <w:r w:rsidDel="00000000" w:rsidR="00000000" w:rsidRPr="00000000">
        <w:rPr>
          <w:b w:val="1"/>
          <w:rtl w:val="0"/>
        </w:rPr>
        <w:t xml:space="preserve">clear, reproducible, and easy to interpret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