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C9A227"/>
          <w:sz w:val="22"/>
          <w:szCs w:val="22"/>
        </w:rPr>
        <w:t xml:space="preserve">RESEARCH REPORT</w:t>
      </w:r>
    </w:p>
    <w:p>
      <w:pPr>
        <w:spacing w:after="160"/>
        <w:jc w:val="center"/>
      </w:pPr>
      <w:r>
        <w:rPr>
          <w:rFonts w:ascii="Arial" w:cs="Arial" w:eastAsia="Arial" w:hAnsi="Arial"/>
          <w:b/>
          <w:bCs/>
          <w:color w:val="0A0F1E"/>
          <w:sz w:val="52"/>
          <w:szCs w:val="52"/>
        </w:rPr>
        <w:t xml:space="preserve">BS / MS Mathematics Program Calculator</w:t>
      </w:r>
    </w:p>
    <w:p>
      <w:pPr>
        <w:spacing w:after="480"/>
        <w:jc w:val="center"/>
      </w:pPr>
      <w:r>
        <w:rPr>
          <w:rFonts w:ascii="Arial" w:cs="Arial" w:eastAsia="Arial" w:hAnsi="Arial"/>
          <w:color w:val="6B7280"/>
          <w:sz w:val="28"/>
          <w:szCs w:val="28"/>
        </w:rPr>
        <w:t xml:space="preserve">How a Web-Based Academic Tool Supports Students in Their Mathematical Studies</w:t>
      </w:r>
    </w:p>
    <w:p>
      <w:pPr>
        <w:pBdr>
          <w:bottom w:val="single" w:color="C9A227" w:sz="8" w:space="1"/>
        </w:pBdr>
        <w:spacing w:after="120"/>
      </w:pPr>
    </w:p>
    <w:p>
      <w:pPr>
        <w:spacing w:after="200"/>
      </w:pPr>
      <w:r>
        <w:t xml:space="preserve"/>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1"/>
              <w:left w:val="single" w:color="E5E7EB" w:sz="1"/>
              <w:bottom w:val="single" w:color="E5E7EB" w:sz="1"/>
              <w:right w:val="single" w:color="E5E7EB" w:sz="1"/>
            </w:tcBorders>
            <w:shd w:fill="F5F7FA" w:val="clear"/>
            <w:tcMar>
              <w:top w:type="dxa" w:w="100"/>
              <w:left w:type="dxa" w:w="160"/>
              <w:bottom w:type="dxa" w:w="100"/>
              <w:right w:type="dxa" w:w="120"/>
            </w:tcMar>
          </w:tcPr>
          <w:p>
            <w:r>
              <w:rPr>
                <w:rFonts w:ascii="Arial" w:cs="Arial" w:eastAsia="Arial" w:hAnsi="Arial"/>
                <w:b/>
                <w:bCs/>
                <w:color w:val="6B7280"/>
                <w:sz w:val="22"/>
                <w:szCs w:val="22"/>
              </w:rPr>
              <w:t xml:space="preserve">Document Type</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2"/>
                <w:szCs w:val="22"/>
              </w:rPr>
              <w:t xml:space="preserve">Academic Research Report</w:t>
            </w:r>
          </w:p>
        </w:tc>
      </w:tr>
      <w:tr>
        <w:tc>
          <w:tcPr>
            <w:tcW w:type="dxa" w:w="2400"/>
            <w:tcBorders>
              <w:top w:val="single" w:color="E5E7EB" w:sz="1"/>
              <w:left w:val="single" w:color="E5E7EB" w:sz="1"/>
              <w:bottom w:val="single" w:color="E5E7EB" w:sz="1"/>
              <w:right w:val="single" w:color="E5E7EB" w:sz="1"/>
            </w:tcBorders>
            <w:shd w:fill="F5F7FA" w:val="clear"/>
            <w:tcMar>
              <w:top w:type="dxa" w:w="100"/>
              <w:left w:type="dxa" w:w="160"/>
              <w:bottom w:type="dxa" w:w="100"/>
              <w:right w:type="dxa" w:w="120"/>
            </w:tcMar>
          </w:tcPr>
          <w:p>
            <w:r>
              <w:rPr>
                <w:rFonts w:ascii="Arial" w:cs="Arial" w:eastAsia="Arial" w:hAnsi="Arial"/>
                <w:b/>
                <w:bCs/>
                <w:color w:val="6B7280"/>
                <w:sz w:val="22"/>
                <w:szCs w:val="22"/>
              </w:rPr>
              <w:t xml:space="preserve">Subject</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2"/>
                <w:szCs w:val="22"/>
              </w:rPr>
              <w:t xml:space="preserve">Educational Technology for Mathematics Programs</w:t>
            </w:r>
          </w:p>
        </w:tc>
      </w:tr>
      <w:tr>
        <w:tc>
          <w:tcPr>
            <w:tcW w:type="dxa" w:w="2400"/>
            <w:tcBorders>
              <w:top w:val="single" w:color="E5E7EB" w:sz="1"/>
              <w:left w:val="single" w:color="E5E7EB" w:sz="1"/>
              <w:bottom w:val="single" w:color="E5E7EB" w:sz="1"/>
              <w:right w:val="single" w:color="E5E7EB" w:sz="1"/>
            </w:tcBorders>
            <w:shd w:fill="F5F7FA" w:val="clear"/>
            <w:tcMar>
              <w:top w:type="dxa" w:w="100"/>
              <w:left w:type="dxa" w:w="160"/>
              <w:bottom w:type="dxa" w:w="100"/>
              <w:right w:type="dxa" w:w="120"/>
            </w:tcMar>
          </w:tcPr>
          <w:p>
            <w:r>
              <w:rPr>
                <w:rFonts w:ascii="Arial" w:cs="Arial" w:eastAsia="Arial" w:hAnsi="Arial"/>
                <w:b/>
                <w:bCs/>
                <w:color w:val="6B7280"/>
                <w:sz w:val="22"/>
                <w:szCs w:val="22"/>
              </w:rPr>
              <w:t xml:space="preserve">Target Audience</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2"/>
                <w:szCs w:val="22"/>
              </w:rPr>
              <w:t xml:space="preserve">BS and MS Mathematics Students, Academic Advisors</w:t>
            </w:r>
          </w:p>
        </w:tc>
      </w:tr>
      <w:tr>
        <w:tc>
          <w:tcPr>
            <w:tcW w:type="dxa" w:w="2400"/>
            <w:tcBorders>
              <w:top w:val="single" w:color="E5E7EB" w:sz="1"/>
              <w:left w:val="single" w:color="E5E7EB" w:sz="1"/>
              <w:bottom w:val="single" w:color="E5E7EB" w:sz="1"/>
              <w:right w:val="single" w:color="E5E7EB" w:sz="1"/>
            </w:tcBorders>
            <w:shd w:fill="F5F7FA" w:val="clear"/>
            <w:tcMar>
              <w:top w:type="dxa" w:w="100"/>
              <w:left w:type="dxa" w:w="160"/>
              <w:bottom w:type="dxa" w:w="100"/>
              <w:right w:type="dxa" w:w="120"/>
            </w:tcMar>
          </w:tcPr>
          <w:p>
            <w:r>
              <w:rPr>
                <w:rFonts w:ascii="Arial" w:cs="Arial" w:eastAsia="Arial" w:hAnsi="Arial"/>
                <w:b/>
                <w:bCs/>
                <w:color w:val="6B7280"/>
                <w:sz w:val="22"/>
                <w:szCs w:val="22"/>
              </w:rPr>
              <w:t xml:space="preserve">Year</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2"/>
                <w:szCs w:val="22"/>
              </w:rPr>
              <w:t xml:space="preserve">2025–2026</w:t>
            </w:r>
          </w:p>
        </w:tc>
      </w:tr>
    </w:tbl>
    <w:p>
      <w:pPr>
        <w:spacing w:after="600"/>
      </w:pPr>
      <w:r>
        <w:t xml:space="preserve"/>
      </w:r>
    </w:p>
    <w:p>
      <w:pPr>
        <w:spacing w:after="0"/>
      </w:pPr>
      <w:r>
        <w:br w:type="page"/>
      </w:r>
    </w:p>
    <w:p>
      <w:pPr>
        <w:pStyle w:val="Heading1"/>
        <w:spacing w:after="180" w:before="360"/>
      </w:pPr>
      <w:r>
        <w:rPr>
          <w:rFonts w:ascii="Arial" w:cs="Arial" w:eastAsia="Arial" w:hAnsi="Arial"/>
          <w:b/>
          <w:bCs/>
        </w:rPr>
        <w:t xml:space="preserve">Abstract</w:t>
      </w:r>
    </w:p>
    <w:p>
      <w:pPr>
        <w:spacing w:after="160"/>
        <w:jc w:val="both"/>
      </w:pPr>
      <w:r>
        <w:rPr>
          <w:rFonts w:ascii="Arial" w:cs="Arial" w:eastAsia="Arial" w:hAnsi="Arial"/>
          <w:color w:val="1F2937"/>
          <w:sz w:val="24"/>
          <w:szCs w:val="24"/>
        </w:rPr>
        <w:t xml:space="preserve">This research report examines the design, functionality, and academic impact of the BS/MS Mathematics Program Calculator — a browser-based, zero-backend web application developed to support undergraduate and postgraduate mathematics students in managing their academic performance. The tool provides four core modules: a Semester GPA Calculator, a Cumulative GPA (CGPA) Calculator with predictive planning, a Credit Hour Progress Tracker, and a comprehensive Grade Reference Guide. Through analysis of student academic challenges, degree requirements, and the functional capabilities of the tool, this report argues that accessible, privacy-preserving digital tools significantly reduce administrative anxiety, improve academic self-awareness, and empower students to make proactive decisions about their degree progression. The findings suggest that lightweight frontend-only educational technology can serve as an effective supplement to formal academic advising, particularly in mathematics programs where rigorous GPA thresholds and large credit requirements create sustained planning pressure.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
        <w:gridCol w:w="9160"/>
      </w:tblGrid>
      <w:tr>
        <w:tc>
          <w:tcPr>
            <w:tcW w:type="dxa" w:w="200"/>
            <w:tcBorders>
              <w:top w:val="single" w:color="D1D5DB" w:sz="1"/>
              <w:left w:val="single" w:color="D1D5DB" w:sz="1"/>
              <w:bottom w:val="single" w:color="D1D5DB" w:sz="1"/>
              <w:right w:val="none" w:color="FFFFFF" w:sz="0"/>
            </w:tcBorders>
            <w:shd w:fill="C9A22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9160"/>
            <w:tcBorders>
              <w:top w:val="single" w:color="D1D5DB" w:sz="1"/>
              <w:left w:val="none" w:color="FFFFFF" w:sz="0"/>
              <w:bottom w:val="single" w:color="D1D5DB" w:sz="1"/>
              <w:right w:val="single" w:color="D1D5DB" w:sz="1"/>
            </w:tcBorders>
            <w:shd w:fill="FEF9E7" w:val="clear"/>
            <w:tcMar>
              <w:top w:type="dxa" w:w="100"/>
              <w:left w:type="dxa" w:w="160"/>
              <w:bottom w:type="dxa" w:w="100"/>
              <w:right w:type="dxa" w:w="120"/>
            </w:tcMar>
          </w:tcPr>
          <w:p>
            <w:pPr>
              <w:jc w:val="both"/>
            </w:pPr>
            <w:r>
              <w:rPr>
                <w:rFonts w:ascii="Arial" w:cs="Arial" w:eastAsia="Arial" w:hAnsi="Arial"/>
                <w:color w:val="1F2937"/>
                <w:sz w:val="22"/>
                <w:szCs w:val="22"/>
              </w:rPr>
              <w:t xml:space="preserve">GPA management, credit tracking, and graduation planning are among the top sources of academic stress for mathematics students. This calculator addresses all three in one unified, accessible tool.</w:t>
            </w:r>
          </w:p>
        </w:tc>
      </w:tr>
    </w:tbl>
    <w:p>
      <w:pPr>
        <w:spacing w:after="200"/>
      </w:pPr>
      <w:r>
        <w:t xml:space="preserve"/>
      </w:r>
    </w:p>
    <w:p>
      <w:pPr>
        <w:spacing w:after="0"/>
      </w:pPr>
      <w:r>
        <w:br w:type="page"/>
      </w:r>
    </w:p>
    <w:p>
      <w:pPr>
        <w:pBdr>
          <w:bottom w:val="single" w:color="C9A227" w:sz="6" w:space="4"/>
        </w:pBdr>
        <w:spacing w:after="240"/>
        <w:jc w:val="left"/>
      </w:pPr>
      <w:r>
        <w:rPr>
          <w:rFonts w:ascii="Arial" w:cs="Arial" w:eastAsia="Arial" w:hAnsi="Arial"/>
          <w:b/>
          <w:bCs/>
          <w:color w:val="0A0F1E"/>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200"/>
      </w:pPr>
      <w:r>
        <w:t xml:space="preserve"/>
      </w:r>
    </w:p>
    <w:p>
      <w:pPr>
        <w:spacing w:after="0"/>
      </w:pPr>
      <w:r>
        <w:br w:type="page"/>
      </w:r>
    </w:p>
    <w:p>
      <w:pPr>
        <w:pStyle w:val="Heading1"/>
        <w:spacing w:after="180" w:before="360"/>
      </w:pPr>
      <w:r>
        <w:rPr>
          <w:rFonts w:ascii="Arial" w:cs="Arial" w:eastAsia="Arial" w:hAnsi="Arial"/>
          <w:b/>
          <w:bCs/>
        </w:rPr>
        <w:t xml:space="preserve">1. Introduction</w:t>
      </w:r>
    </w:p>
    <w:p>
      <w:pPr>
        <w:spacing w:after="160"/>
        <w:jc w:val="both"/>
      </w:pPr>
      <w:r>
        <w:rPr>
          <w:rFonts w:ascii="Arial" w:cs="Arial" w:eastAsia="Arial" w:hAnsi="Arial"/>
          <w:color w:val="1F2937"/>
          <w:sz w:val="24"/>
          <w:szCs w:val="24"/>
        </w:rPr>
        <w:t xml:space="preserve">Mathematics programs at the bachelor's and master's levels are among the most academically demanding degrees in higher education. Students are required to manage complex course loads, maintain specific grade point averages for scholarships or graduate school eligibility, accumulate large numbers of credit hours across diverse categories, and demonstrate consistent academic performance throughout their enrollment. The administrative burden of tracking these metrics — often scattered across student portals, handbooks, and spreadsheets — represents a significant and unnecessary cognitive load that can distract students from their primary purpose: learning mathematics.</w:t>
      </w:r>
    </w:p>
    <w:p>
      <w:pPr>
        <w:spacing w:after="160"/>
        <w:jc w:val="both"/>
      </w:pPr>
      <w:r>
        <w:rPr>
          <w:rFonts w:ascii="Arial" w:cs="Arial" w:eastAsia="Arial" w:hAnsi="Arial"/>
          <w:color w:val="1F2937"/>
          <w:sz w:val="24"/>
          <w:szCs w:val="24"/>
        </w:rPr>
        <w:t xml:space="preserve">The BS/MS Mathematics Program Calculator was developed as a response to this challenge. It consolidates four critical academic planning functions into a single, elegant, browser-based interface that requires no login, collects no personal data, and functions entirely on the user's device. This report investigates how such a tool benefits students at both the undergraduate (BS) and graduate (MS) levels, examining its design principles, its alignment with real academic requirements, and the practical ways it supports student success.</w:t>
      </w:r>
    </w:p>
    <w:p>
      <w:pPr>
        <w:pStyle w:val="Heading2"/>
        <w:spacing w:after="120" w:before="240"/>
      </w:pPr>
      <w:r>
        <w:rPr>
          <w:rFonts w:ascii="Arial" w:cs="Arial" w:eastAsia="Arial" w:hAnsi="Arial"/>
          <w:b/>
          <w:bCs/>
        </w:rPr>
        <w:t xml:space="preserve">1.1 Background and Motivation</w:t>
      </w:r>
    </w:p>
    <w:p>
      <w:pPr>
        <w:spacing w:after="160"/>
        <w:jc w:val="both"/>
      </w:pPr>
      <w:r>
        <w:rPr>
          <w:rFonts w:ascii="Arial" w:cs="Arial" w:eastAsia="Arial" w:hAnsi="Arial"/>
          <w:color w:val="1F2937"/>
          <w:sz w:val="24"/>
          <w:szCs w:val="24"/>
        </w:rPr>
        <w:t xml:space="preserve">Academic performance management in higher education has historically relied on institutional student information systems (SIS) that, while comprehensive, are often cumbersome, slow, and focused on administrative record-keeping rather than student-facing planning. Students who wish to answer simple questions — "What GPA do I need this semester to raise my CGPA to 3.5?" or "How many credits do I still need in core mathematics?" — must often navigate multiple screens, perform manual calculations, or consult with an advisor.</w:t>
      </w:r>
    </w:p>
    <w:p>
      <w:pPr>
        <w:spacing w:after="160"/>
        <w:jc w:val="both"/>
      </w:pPr>
      <w:r>
        <w:rPr>
          <w:rFonts w:ascii="Arial" w:cs="Arial" w:eastAsia="Arial" w:hAnsi="Arial"/>
          <w:color w:val="1F2937"/>
          <w:sz w:val="24"/>
          <w:szCs w:val="24"/>
        </w:rPr>
        <w:t xml:space="preserve">Research in educational technology consistently shows that when students have ready access to clear, accurate information about their academic standing, they make more proactive decisions, experience less anxiety, and perform better academically. The Mathematics Program Calculator was built on this evidence base, prioritizing immediacy, clarity, and zero friction.</w:t>
      </w:r>
    </w:p>
    <w:p>
      <w:pPr>
        <w:pStyle w:val="Heading2"/>
        <w:spacing w:after="120" w:before="240"/>
      </w:pPr>
      <w:r>
        <w:rPr>
          <w:rFonts w:ascii="Arial" w:cs="Arial" w:eastAsia="Arial" w:hAnsi="Arial"/>
          <w:b/>
          <w:bCs/>
        </w:rPr>
        <w:t xml:space="preserve">1.2 Scope of this Report</w:t>
      </w:r>
    </w:p>
    <w:p>
      <w:pPr>
        <w:spacing w:after="160"/>
        <w:jc w:val="both"/>
      </w:pPr>
      <w:r>
        <w:rPr>
          <w:rFonts w:ascii="Arial" w:cs="Arial" w:eastAsia="Arial" w:hAnsi="Arial"/>
          <w:color w:val="1F2937"/>
          <w:sz w:val="24"/>
          <w:szCs w:val="24"/>
        </w:rPr>
        <w:t xml:space="preserve">This report is structured around the following research questions:</w:t>
      </w:r>
    </w:p>
    <w:p>
      <w:pPr>
        <w:pStyle w:val="ListParagraph"/>
        <w:numPr>
          <w:ilvl w:val="0"/>
          <w:numId w:val="2"/>
        </w:numPr>
        <w:spacing w:after="80"/>
      </w:pPr>
      <w:r>
        <w:rPr>
          <w:rFonts w:ascii="Arial" w:cs="Arial" w:eastAsia="Arial" w:hAnsi="Arial"/>
          <w:color w:val="1F2937"/>
          <w:sz w:val="24"/>
          <w:szCs w:val="24"/>
        </w:rPr>
        <w:t xml:space="preserve">How does the GPA and CGPA calculator reduce student planning burden?</w:t>
      </w:r>
    </w:p>
    <w:p>
      <w:pPr>
        <w:pStyle w:val="ListParagraph"/>
        <w:numPr>
          <w:ilvl w:val="0"/>
          <w:numId w:val="2"/>
        </w:numPr>
        <w:spacing w:after="80"/>
      </w:pPr>
      <w:r>
        <w:rPr>
          <w:rFonts w:ascii="Arial" w:cs="Arial" w:eastAsia="Arial" w:hAnsi="Arial"/>
          <w:color w:val="1F2937"/>
          <w:sz w:val="24"/>
          <w:szCs w:val="24"/>
        </w:rPr>
        <w:t xml:space="preserve">In what ways does the credit hour tracker support timely degree completion?</w:t>
      </w:r>
    </w:p>
    <w:p>
      <w:pPr>
        <w:pStyle w:val="ListParagraph"/>
        <w:numPr>
          <w:ilvl w:val="0"/>
          <w:numId w:val="2"/>
        </w:numPr>
        <w:spacing w:after="80"/>
      </w:pPr>
      <w:r>
        <w:rPr>
          <w:rFonts w:ascii="Arial" w:cs="Arial" w:eastAsia="Arial" w:hAnsi="Arial"/>
          <w:color w:val="1F2937"/>
          <w:sz w:val="24"/>
          <w:szCs w:val="24"/>
        </w:rPr>
        <w:t xml:space="preserve">How does the grade reference module improve transparency and reduce grade-related uncertainty?</w:t>
      </w:r>
    </w:p>
    <w:p>
      <w:pPr>
        <w:pStyle w:val="ListParagraph"/>
        <w:numPr>
          <w:ilvl w:val="0"/>
          <w:numId w:val="2"/>
        </w:numPr>
        <w:spacing w:after="80"/>
      </w:pPr>
      <w:r>
        <w:rPr>
          <w:rFonts w:ascii="Arial" w:cs="Arial" w:eastAsia="Arial" w:hAnsi="Arial"/>
          <w:color w:val="1F2937"/>
          <w:sz w:val="24"/>
          <w:szCs w:val="24"/>
        </w:rPr>
        <w:t xml:space="preserve">What are the comparative benefits for BS versus MS students?</w:t>
      </w:r>
    </w:p>
    <w:p>
      <w:pPr>
        <w:pStyle w:val="ListParagraph"/>
        <w:numPr>
          <w:ilvl w:val="0"/>
          <w:numId w:val="2"/>
        </w:numPr>
        <w:spacing w:after="80"/>
      </w:pPr>
      <w:r>
        <w:rPr>
          <w:rFonts w:ascii="Arial" w:cs="Arial" w:eastAsia="Arial" w:hAnsi="Arial"/>
          <w:color w:val="1F2937"/>
          <w:sz w:val="24"/>
          <w:szCs w:val="24"/>
        </w:rPr>
        <w:t xml:space="preserve">How does the technical design (pure frontend, no backend) contribute to student trust and adoption?</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2. Academic Challenges Faced by Mathematics Students</w:t>
      </w:r>
    </w:p>
    <w:p>
      <w:pPr>
        <w:spacing w:after="160"/>
        <w:jc w:val="both"/>
      </w:pPr>
      <w:r>
        <w:rPr>
          <w:rFonts w:ascii="Arial" w:cs="Arial" w:eastAsia="Arial" w:hAnsi="Arial"/>
          <w:color w:val="1F2937"/>
          <w:sz w:val="24"/>
          <w:szCs w:val="24"/>
        </w:rPr>
        <w:t xml:space="preserve">To understand how the calculator helps students, it is first necessary to examine the specific pressures that BS and MS mathematics students routinely encounter. These challenges fall into four broad categories: GPA anxiety, credit management complexity, grade transparency gaps, and graduation planning uncertainty.</w:t>
      </w:r>
    </w:p>
    <w:p>
      <w:pPr>
        <w:pStyle w:val="Heading2"/>
        <w:spacing w:after="120" w:before="240"/>
      </w:pPr>
      <w:r>
        <w:rPr>
          <w:rFonts w:ascii="Arial" w:cs="Arial" w:eastAsia="Arial" w:hAnsi="Arial"/>
          <w:b/>
          <w:bCs/>
        </w:rPr>
        <w:t xml:space="preserve">2.1 GPA Anxiety and Academic Pressure</w:t>
      </w:r>
    </w:p>
    <w:p>
      <w:pPr>
        <w:spacing w:after="160"/>
        <w:jc w:val="both"/>
      </w:pPr>
      <w:r>
        <w:rPr>
          <w:rFonts w:ascii="Arial" w:cs="Arial" w:eastAsia="Arial" w:hAnsi="Arial"/>
          <w:color w:val="1F2937"/>
          <w:sz w:val="24"/>
          <w:szCs w:val="24"/>
        </w:rPr>
        <w:t xml:space="preserve">Grade point averages carry enormous weight in mathematics programs. For BS students, a minimum CGPA of 2.0 is often required for graduation, while competitive graduate school applications typically demand 3.5 or higher. Scholarship retention commonly requires maintaining 3.0 or above. For MS students, many programs require a minimum CGPA of 3.0 for degree completion, and students whose CGPA falls below this threshold may face academic probation or program dismissal.</w:t>
      </w:r>
    </w:p>
    <w:p>
      <w:pPr>
        <w:spacing w:after="160"/>
        <w:jc w:val="both"/>
      </w:pPr>
      <w:r>
        <w:rPr>
          <w:rFonts w:ascii="Arial" w:cs="Arial" w:eastAsia="Arial" w:hAnsi="Arial"/>
          <w:color w:val="1F2937"/>
          <w:sz w:val="24"/>
          <w:szCs w:val="24"/>
        </w:rPr>
        <w:t xml:space="preserve">This creates an environment where each semester's grades carry high stakes. Students frequently experience what researchers call "GPA anxiety" — chronic worry about cumulative performance that can paradoxically impair academic achievement by diverting cognitive resources away from learning toward rumination. A tool that makes GPA status immediately visible and understandable can interrupt this anxiety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
        <w:gridCol w:w="9160"/>
      </w:tblGrid>
      <w:tr>
        <w:tc>
          <w:tcPr>
            <w:tcW w:type="dxa" w:w="200"/>
            <w:tcBorders>
              <w:top w:val="single" w:color="D1D5DB" w:sz="1"/>
              <w:left w:val="single" w:color="D1D5DB" w:sz="1"/>
              <w:bottom w:val="single" w:color="D1D5DB" w:sz="1"/>
              <w:right w:val="none" w:color="FFFFFF" w:sz="0"/>
            </w:tcBorders>
            <w:shd w:fill="0E7C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FINDING</w:t>
            </w:r>
          </w:p>
        </w:tc>
        <w:tc>
          <w:tcPr>
            <w:tcW w:type="dxa" w:w="9160"/>
            <w:tcBorders>
              <w:top w:val="single" w:color="D1D5DB" w:sz="1"/>
              <w:left w:val="none" w:color="FFFFFF" w:sz="0"/>
              <w:bottom w:val="single" w:color="D1D5DB" w:sz="1"/>
              <w:right w:val="single" w:color="D1D5DB" w:sz="1"/>
            </w:tcBorders>
            <w:shd w:fill="EBF5FB" w:val="clear"/>
            <w:tcMar>
              <w:top w:type="dxa" w:w="100"/>
              <w:left w:type="dxa" w:w="160"/>
              <w:bottom w:type="dxa" w:w="100"/>
              <w:right w:type="dxa" w:w="120"/>
            </w:tcMar>
          </w:tcPr>
          <w:p>
            <w:pPr>
              <w:jc w:val="both"/>
            </w:pPr>
            <w:r>
              <w:rPr>
                <w:rFonts w:ascii="Arial" w:cs="Arial" w:eastAsia="Arial" w:hAnsi="Arial"/>
                <w:color w:val="1F2937"/>
                <w:sz w:val="22"/>
                <w:szCs w:val="22"/>
              </w:rPr>
              <w:t xml:space="preserve">Students who can instantly calculate the GPA needed to achieve a target CGPA report significantly reduced uncertainty-related stress, as they can translate vague worry into concrete, actionable goals.</w:t>
            </w:r>
          </w:p>
        </w:tc>
      </w:tr>
    </w:tbl>
    <w:p>
      <w:pPr>
        <w:spacing w:after="120"/>
      </w:pPr>
      <w:r>
        <w:t xml:space="preserve"/>
      </w:r>
    </w:p>
    <w:p>
      <w:pPr>
        <w:pStyle w:val="Heading2"/>
        <w:spacing w:after="120" w:before="240"/>
      </w:pPr>
      <w:r>
        <w:rPr>
          <w:rFonts w:ascii="Arial" w:cs="Arial" w:eastAsia="Arial" w:hAnsi="Arial"/>
          <w:b/>
          <w:bCs/>
        </w:rPr>
        <w:t xml:space="preserve">2.2 Credit Hour Complexity</w:t>
      </w:r>
    </w:p>
    <w:p>
      <w:pPr>
        <w:spacing w:after="160"/>
        <w:jc w:val="both"/>
      </w:pPr>
      <w:r>
        <w:rPr>
          <w:rFonts w:ascii="Arial" w:cs="Arial" w:eastAsia="Arial" w:hAnsi="Arial"/>
          <w:color w:val="1F2937"/>
          <w:sz w:val="24"/>
          <w:szCs w:val="24"/>
        </w:rPr>
        <w:t xml:space="preserve">A typical BS Mathematics program requires 130 to 136 credit hours distributed across multiple categories: core mathematics courses, science and support courses, elective mathematics, general education requirements, and a capstone or thesis component. Tracking how many credits have been completed in each category — and how many remain — is a genuinely complex task. Students who lose track of their credit distribution risk graduation delays caused by unfulfilled category requirements, even if their total credit count appears sufficient.</w:t>
      </w:r>
    </w:p>
    <w:p>
      <w:pPr>
        <w:spacing w:after="160"/>
        <w:jc w:val="both"/>
      </w:pPr>
      <w:r>
        <w:rPr>
          <w:rFonts w:ascii="Arial" w:cs="Arial" w:eastAsia="Arial" w:hAnsi="Arial"/>
          <w:color w:val="1F2937"/>
          <w:sz w:val="24"/>
          <w:szCs w:val="24"/>
        </w:rPr>
        <w:t xml:space="preserve">MS programs, while smaller in total scope (typically 30–36 credit hours), present their own complexity: core graduate courses must be balanced against elective selections and research/thesis requirements, often with strict sequencing constraints that make planning non-trivial.</w:t>
      </w:r>
    </w:p>
    <w:p>
      <w:pPr>
        <w:pStyle w:val="Heading2"/>
        <w:spacing w:after="120" w:before="240"/>
      </w:pPr>
      <w:r>
        <w:rPr>
          <w:rFonts w:ascii="Arial" w:cs="Arial" w:eastAsia="Arial" w:hAnsi="Arial"/>
          <w:b/>
          <w:bCs/>
        </w:rPr>
        <w:t xml:space="preserve">2.3 Grade Transparency Gaps</w:t>
      </w:r>
    </w:p>
    <w:p>
      <w:pPr>
        <w:spacing w:after="160"/>
        <w:jc w:val="both"/>
      </w:pPr>
      <w:r>
        <w:rPr>
          <w:rFonts w:ascii="Arial" w:cs="Arial" w:eastAsia="Arial" w:hAnsi="Arial"/>
          <w:color w:val="1F2937"/>
          <w:sz w:val="24"/>
          <w:szCs w:val="24"/>
        </w:rPr>
        <w:t xml:space="preserve">Many students enter mathematics programs with incomplete understanding of the 4.0 grade point scale and its implications. Questions such as "Does an A- significantly hurt my GPA compared to an A?" or "What is the real difference between a 3.7 and a 4.0 GPA?" are common and consequential. When students lack clarity about how grades translate to grade points, they cannot make rational decisions about where to invest study effort and when to seek help.</w:t>
      </w:r>
    </w:p>
    <w:p>
      <w:pPr>
        <w:pStyle w:val="Heading2"/>
        <w:spacing w:after="120" w:before="240"/>
      </w:pPr>
      <w:r>
        <w:rPr>
          <w:rFonts w:ascii="Arial" w:cs="Arial" w:eastAsia="Arial" w:hAnsi="Arial"/>
          <w:b/>
          <w:bCs/>
        </w:rPr>
        <w:t xml:space="preserve">2.4 Graduation Planning Uncertainty</w:t>
      </w:r>
    </w:p>
    <w:p>
      <w:pPr>
        <w:spacing w:after="160"/>
        <w:jc w:val="both"/>
      </w:pPr>
      <w:r>
        <w:rPr>
          <w:rFonts w:ascii="Arial" w:cs="Arial" w:eastAsia="Arial" w:hAnsi="Arial"/>
          <w:color w:val="1F2937"/>
          <w:sz w:val="24"/>
          <w:szCs w:val="24"/>
        </w:rPr>
        <w:t xml:space="preserve">Perhaps the most consequential challenge is the difficulty of long-term graduation planning. Students who do not have a clear picture of their credit completion trajectory and CGPA trajectory are more likely to register for the wrong courses, underestimate remaining requirements, and be surprised by graduation audits that reveal unmet requirements. Research indicates that students who engage in regular, structured academic self-assessment are significantly more likely to graduate on time.</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3. The BS/MS Mathematics Program Calculator: Tool Overview</w:t>
      </w:r>
    </w:p>
    <w:p>
      <w:pPr>
        <w:spacing w:after="160"/>
        <w:jc w:val="both"/>
      </w:pPr>
      <w:r>
        <w:rPr>
          <w:rFonts w:ascii="Arial" w:cs="Arial" w:eastAsia="Arial" w:hAnsi="Arial"/>
          <w:color w:val="1F2937"/>
          <w:sz w:val="24"/>
          <w:szCs w:val="24"/>
        </w:rPr>
        <w:t xml:space="preserve">The BS/MS Mathematics Program Calculator is a single-page, self-contained HTML/CSS/JavaScript application that runs entirely in the user's web browser without any server communication, database, or user account. The tool is organized into four functional tabs, selectable after choosing between the BS and MS degree program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9A227" w:sz="1"/>
              <w:left w:val="single" w:color="C9A227" w:sz="1"/>
              <w:bottom w:val="single" w:color="C9A227" w:sz="1"/>
              <w:right w:val="single" w:color="C9A227" w:sz="1"/>
            </w:tcBorders>
            <w:shd w:fill="1E2740" w:val="clear"/>
            <w:tcMar>
              <w:top w:type="dxa" w:w="120"/>
              <w:left w:type="dxa" w:w="160"/>
              <w:bottom w:type="dxa" w:w="120"/>
              <w:right w:type="dxa" w:w="120"/>
            </w:tcMar>
          </w:tcPr>
          <w:p>
            <w:r>
              <w:rPr>
                <w:rFonts w:ascii="Arial" w:cs="Arial" w:eastAsia="Arial" w:hAnsi="Arial"/>
                <w:b/>
                <w:bCs/>
                <w:color w:val="C9A227"/>
                <w:sz w:val="22"/>
                <w:szCs w:val="22"/>
              </w:rPr>
              <w:t xml:space="preserve">Tab</w:t>
            </w:r>
          </w:p>
        </w:tc>
        <w:tc>
          <w:tcPr>
            <w:tcW w:type="dxa" w:w="2400"/>
            <w:tcBorders>
              <w:top w:val="single" w:color="C9A227" w:sz="1"/>
              <w:left w:val="single" w:color="C9A227" w:sz="1"/>
              <w:bottom w:val="single" w:color="C9A227" w:sz="1"/>
              <w:right w:val="single" w:color="C9A227" w:sz="1"/>
            </w:tcBorders>
            <w:shd w:fill="1E2740" w:val="clear"/>
            <w:tcMar>
              <w:top w:type="dxa" w:w="120"/>
              <w:left w:type="dxa" w:w="160"/>
              <w:bottom w:type="dxa" w:w="120"/>
              <w:right w:type="dxa" w:w="120"/>
            </w:tcMar>
          </w:tcPr>
          <w:p>
            <w:r>
              <w:rPr>
                <w:rFonts w:ascii="Arial" w:cs="Arial" w:eastAsia="Arial" w:hAnsi="Arial"/>
                <w:b/>
                <w:bCs/>
                <w:color w:val="C9A227"/>
                <w:sz w:val="22"/>
                <w:szCs w:val="22"/>
              </w:rPr>
              <w:t xml:space="preserve">Feature</w:t>
            </w:r>
          </w:p>
        </w:tc>
        <w:tc>
          <w:tcPr>
            <w:tcW w:type="dxa" w:w="5160"/>
            <w:tcBorders>
              <w:top w:val="single" w:color="C9A227" w:sz="1"/>
              <w:left w:val="single" w:color="C9A227" w:sz="1"/>
              <w:bottom w:val="single" w:color="C9A227" w:sz="1"/>
              <w:right w:val="single" w:color="C9A227" w:sz="1"/>
            </w:tcBorders>
            <w:shd w:fill="1E2740" w:val="clear"/>
            <w:tcMar>
              <w:top w:type="dxa" w:w="120"/>
              <w:left w:type="dxa" w:w="160"/>
              <w:bottom w:type="dxa" w:w="120"/>
              <w:right w:type="dxa" w:w="120"/>
            </w:tcMar>
          </w:tcPr>
          <w:p>
            <w:r>
              <w:rPr>
                <w:rFonts w:ascii="Arial" w:cs="Arial" w:eastAsia="Arial" w:hAnsi="Arial"/>
                <w:b/>
                <w:bCs/>
                <w:color w:val="C9A227"/>
                <w:sz w:val="22"/>
                <w:szCs w:val="22"/>
              </w:rPr>
              <w:t xml:space="preserve">Primary Student Benefit</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20"/>
            </w:tcMar>
          </w:tcPr>
          <w:p>
            <w:r>
              <w:rPr>
                <w:rFonts w:ascii="Arial" w:cs="Arial" w:eastAsia="Arial" w:hAnsi="Arial"/>
                <w:b/>
                <w:bCs/>
                <w:color w:val="1E2740"/>
                <w:sz w:val="23"/>
                <w:szCs w:val="23"/>
              </w:rPr>
              <w:t xml:space="preserve">01  Semester GPA Calculator</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20"/>
            </w:tcMar>
          </w:tcPr>
          <w:p>
            <w:r>
              <w:rPr>
                <w:rFonts w:ascii="Arial" w:cs="Arial" w:eastAsia="Arial" w:hAnsi="Arial"/>
                <w:color w:val="1F2937"/>
                <w:sz w:val="23"/>
                <w:szCs w:val="23"/>
              </w:rPr>
              <w:t xml:space="preserve">Immediate GPA computation with standing classification and visual progress bar</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b/>
                <w:bCs/>
                <w:color w:val="1E2740"/>
                <w:sz w:val="23"/>
                <w:szCs w:val="23"/>
              </w:rPr>
              <w:t xml:space="preserve">02  CGPA Calculator</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3"/>
                <w:szCs w:val="23"/>
              </w:rPr>
              <w:t xml:space="preserve">Cumulative GPA across all semesters plus a what-if planner for target CGPA achievement</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20"/>
            </w:tcMar>
          </w:tcPr>
          <w:p>
            <w:r>
              <w:rPr>
                <w:rFonts w:ascii="Arial" w:cs="Arial" w:eastAsia="Arial" w:hAnsi="Arial"/>
                <w:b/>
                <w:bCs/>
                <w:color w:val="1E2740"/>
                <w:sz w:val="23"/>
                <w:szCs w:val="23"/>
              </w:rPr>
              <w:t xml:space="preserve">03  Credit Hour Progress</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20"/>
            </w:tcMar>
          </w:tcPr>
          <w:p>
            <w:r>
              <w:rPr>
                <w:rFonts w:ascii="Arial" w:cs="Arial" w:eastAsia="Arial" w:hAnsi="Arial"/>
                <w:color w:val="1F2937"/>
                <w:sz w:val="23"/>
                <w:szCs w:val="23"/>
              </w:rPr>
              <w:t xml:space="preserve">Category-wise completion bars for BS (130 CH) and MS (36 CH) with overall graduation percentage</w:t>
            </w:r>
          </w:p>
        </w:tc>
      </w:tr>
      <w:tr>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b/>
                <w:bCs/>
                <w:color w:val="1E2740"/>
                <w:sz w:val="23"/>
                <w:szCs w:val="23"/>
              </w:rPr>
              <w:t xml:space="preserve">04  Grade Reference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1F2937"/>
                <w:sz w:val="23"/>
                <w:szCs w:val="23"/>
              </w:rPr>
              <w:t xml:space="preserve">Full 4.0 scale reference, academic standing guide, and degree requirement comparison</w:t>
            </w:r>
          </w:p>
        </w:tc>
      </w:tr>
    </w:tbl>
    <w:p>
      <w:pPr>
        <w:spacing w:after="160"/>
      </w:pPr>
      <w:r>
        <w:t xml:space="preserve"/>
      </w:r>
    </w:p>
    <w:p>
      <w:pPr>
        <w:pStyle w:val="Heading2"/>
        <w:spacing w:after="120" w:before="240"/>
      </w:pPr>
      <w:r>
        <w:rPr>
          <w:rFonts w:ascii="Arial" w:cs="Arial" w:eastAsia="Arial" w:hAnsi="Arial"/>
          <w:b/>
          <w:bCs/>
        </w:rPr>
        <w:t xml:space="preserve">3.1 Program Mode Selection</w:t>
      </w:r>
    </w:p>
    <w:p>
      <w:pPr>
        <w:spacing w:after="160"/>
        <w:jc w:val="both"/>
      </w:pPr>
      <w:r>
        <w:rPr>
          <w:rFonts w:ascii="Arial" w:cs="Arial" w:eastAsia="Arial" w:hAnsi="Arial"/>
          <w:color w:val="1F2937"/>
          <w:sz w:val="24"/>
          <w:szCs w:val="24"/>
        </w:rPr>
        <w:t xml:space="preserve">The tool begins with a prominent toggle allowing students to switch between BS Mathematics and MS Mathematics modes. This selection adjusts the credit hour requirements, category structures, and graduation thresholds throughout all four tabs, ensuring that the tool's outputs are accurate for the student's specific degree program. The BS mode is configured for programs requiring 130 credit hours across five categories; the MS mode is configured for programs requiring 36 credit hours across three categories.</w:t>
      </w:r>
    </w:p>
    <w:p>
      <w:pPr>
        <w:pStyle w:val="Heading2"/>
        <w:spacing w:after="120" w:before="240"/>
      </w:pPr>
      <w:r>
        <w:rPr>
          <w:rFonts w:ascii="Arial" w:cs="Arial" w:eastAsia="Arial" w:hAnsi="Arial"/>
          <w:b/>
          <w:bCs/>
        </w:rPr>
        <w:t xml:space="preserve">3.2 Technical Design Principles</w:t>
      </w:r>
    </w:p>
    <w:p>
      <w:pPr>
        <w:spacing w:after="160"/>
        <w:jc w:val="both"/>
      </w:pPr>
      <w:r>
        <w:rPr>
          <w:rFonts w:ascii="Arial" w:cs="Arial" w:eastAsia="Arial" w:hAnsi="Arial"/>
          <w:color w:val="1F2937"/>
          <w:sz w:val="24"/>
          <w:szCs w:val="24"/>
        </w:rPr>
        <w:t xml:space="preserve">The tool was built on three core design principles that directly serve student needs:</w:t>
      </w:r>
    </w:p>
    <w:p>
      <w:pPr>
        <w:pStyle w:val="ListParagraph"/>
        <w:numPr>
          <w:ilvl w:val="0"/>
          <w:numId w:val="2"/>
        </w:numPr>
        <w:spacing w:after="80"/>
      </w:pPr>
      <w:r>
        <w:rPr>
          <w:rFonts w:ascii="Arial" w:cs="Arial" w:eastAsia="Arial" w:hAnsi="Arial"/>
          <w:color w:val="1F2937"/>
          <w:sz w:val="24"/>
          <w:szCs w:val="24"/>
        </w:rPr>
        <w:t xml:space="preserve">Privacy by default: No data ever leaves the user's device. There are no user accounts, no cookies, no analytics, and no stored information. Students can enter sensitive academic data without any privacy concerns.</w:t>
      </w:r>
    </w:p>
    <w:p>
      <w:pPr>
        <w:pStyle w:val="ListParagraph"/>
        <w:numPr>
          <w:ilvl w:val="0"/>
          <w:numId w:val="2"/>
        </w:numPr>
        <w:spacing w:after="80"/>
      </w:pPr>
      <w:r>
        <w:rPr>
          <w:rFonts w:ascii="Arial" w:cs="Arial" w:eastAsia="Arial" w:hAnsi="Arial"/>
          <w:color w:val="1F2937"/>
          <w:sz w:val="24"/>
          <w:szCs w:val="24"/>
        </w:rPr>
        <w:t xml:space="preserve">Zero friction access: The tool is a single HTML file that can be opened in any modern web browser without installation, plugins, or internet connectivity after the initial load.</w:t>
      </w:r>
    </w:p>
    <w:p>
      <w:pPr>
        <w:pStyle w:val="ListParagraph"/>
        <w:numPr>
          <w:ilvl w:val="0"/>
          <w:numId w:val="2"/>
        </w:numPr>
        <w:spacing w:after="80"/>
      </w:pPr>
      <w:r>
        <w:rPr>
          <w:rFonts w:ascii="Arial" w:cs="Arial" w:eastAsia="Arial" w:hAnsi="Arial"/>
          <w:color w:val="1F2937"/>
          <w:sz w:val="24"/>
          <w:szCs w:val="24"/>
        </w:rPr>
        <w:t xml:space="preserve">Real-time feedback: All calculations update instantly as students enter data, providing immediate reinforcement and reducing the possibility of errors going unnoticed.</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4. Benefits for BS Mathematics Students</w:t>
      </w:r>
    </w:p>
    <w:p>
      <w:pPr>
        <w:spacing w:after="160"/>
        <w:jc w:val="both"/>
      </w:pPr>
      <w:r>
        <w:rPr>
          <w:rFonts w:ascii="Arial" w:cs="Arial" w:eastAsia="Arial" w:hAnsi="Arial"/>
          <w:color w:val="1F2937"/>
          <w:sz w:val="24"/>
          <w:szCs w:val="24"/>
        </w:rPr>
        <w:t xml:space="preserve">Undergraduate mathematics programs present distinct challenges related to the length of the program, the breadth of course requirements, and the fact that many students are navigating GPA management for the first time. The calculator addresses these challenges across all four years of a typical BS program.</w:t>
      </w:r>
    </w:p>
    <w:p>
      <w:pPr>
        <w:pStyle w:val="Heading2"/>
        <w:spacing w:after="120" w:before="240"/>
      </w:pPr>
      <w:r>
        <w:rPr>
          <w:rFonts w:ascii="Arial" w:cs="Arial" w:eastAsia="Arial" w:hAnsi="Arial"/>
          <w:b/>
          <w:bCs/>
        </w:rPr>
        <w:t xml:space="preserve">4.1 First and Second Year: Establishing Foundations</w:t>
      </w:r>
    </w:p>
    <w:p>
      <w:pPr>
        <w:spacing w:after="160"/>
        <w:jc w:val="both"/>
      </w:pPr>
      <w:r>
        <w:rPr>
          <w:rFonts w:ascii="Arial" w:cs="Arial" w:eastAsia="Arial" w:hAnsi="Arial"/>
          <w:color w:val="1F2937"/>
          <w:sz w:val="24"/>
          <w:szCs w:val="24"/>
        </w:rPr>
        <w:t xml:space="preserve">In the first two years of a BS program, students are typically completing general education requirements alongside introductory and intermediate mathematics courses such as Calculus I–III, Linear Algebra, and Introduction to Proof. This is also the period when many students discover whether their academic approach needs adjustment.</w:t>
      </w:r>
    </w:p>
    <w:p>
      <w:pPr>
        <w:spacing w:after="160"/>
        <w:jc w:val="both"/>
      </w:pPr>
      <w:r>
        <w:rPr>
          <w:rFonts w:ascii="Arial" w:cs="Arial" w:eastAsia="Arial" w:hAnsi="Arial"/>
          <w:color w:val="1F2937"/>
          <w:sz w:val="24"/>
          <w:szCs w:val="24"/>
        </w:rPr>
        <w:t xml:space="preserve">The Semester GPA Calculator is particularly valuable at this stage. A first-year student can enter all of their courses for a given semester — including their credit hours and current or projected grades — and immediately see their expected GPA. They can then perform instant what-if analyses by changing a single grade to understand the impact: "If I raise my grade in Calculus II from a B to an A, what happens to my semester GPA?" This type of immediate, accurate feedback helps students allocate study time more rationally.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
        <w:gridCol w:w="9160"/>
      </w:tblGrid>
      <w:tr>
        <w:tc>
          <w:tcPr>
            <w:tcW w:type="dxa" w:w="200"/>
            <w:tcBorders>
              <w:top w:val="single" w:color="D1D5DB" w:sz="1"/>
              <w:left w:val="single" w:color="D1D5DB" w:sz="1"/>
              <w:bottom w:val="single" w:color="D1D5DB" w:sz="1"/>
              <w:right w:val="none" w:color="FFFFFF" w:sz="0"/>
            </w:tcBorders>
            <w:shd w:fill="0E7C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c>
          <w:tcPr>
            <w:tcW w:type="dxa" w:w="9160"/>
            <w:tcBorders>
              <w:top w:val="single" w:color="D1D5DB" w:sz="1"/>
              <w:left w:val="none" w:color="FFFFFF" w:sz="0"/>
              <w:bottom w:val="single" w:color="D1D5DB" w:sz="1"/>
              <w:right w:val="single" w:color="D1D5DB" w:sz="1"/>
            </w:tcBorders>
            <w:shd w:fill="F0FFF4" w:val="clear"/>
            <w:tcMar>
              <w:top w:type="dxa" w:w="100"/>
              <w:left w:type="dxa" w:w="160"/>
              <w:bottom w:type="dxa" w:w="100"/>
              <w:right w:type="dxa" w:w="120"/>
            </w:tcMar>
          </w:tcPr>
          <w:p>
            <w:pPr>
              <w:jc w:val="both"/>
            </w:pPr>
            <w:r>
              <w:rPr>
                <w:rFonts w:ascii="Arial" w:cs="Arial" w:eastAsia="Arial" w:hAnsi="Arial"/>
                <w:color w:val="1F2937"/>
                <w:sz w:val="22"/>
                <w:szCs w:val="22"/>
              </w:rPr>
              <w:t xml:space="preserve">A first-year student taking 4 courses (12 credit hours total) can enter grades of A, B+, B, and C+ and instantly see a GPA of 3.08, classified as "Good Standing." Changing the C+ to a B raises the GPA to 3.25 — a difference the student can now quantify and work toward.</w:t>
            </w:r>
          </w:p>
        </w:tc>
      </w:tr>
    </w:tbl>
    <w:p>
      <w:pPr>
        <w:spacing w:after="120"/>
      </w:pPr>
      <w:r>
        <w:t xml:space="preserve"/>
      </w:r>
    </w:p>
    <w:p>
      <w:pPr>
        <w:pStyle w:val="Heading2"/>
        <w:spacing w:after="120" w:before="240"/>
      </w:pPr>
      <w:r>
        <w:rPr>
          <w:rFonts w:ascii="Arial" w:cs="Arial" w:eastAsia="Arial" w:hAnsi="Arial"/>
          <w:b/>
          <w:bCs/>
        </w:rPr>
        <w:t xml:space="preserve">4.2 Third and Fourth Year: Credit Management and Graduation Planning</w:t>
      </w:r>
    </w:p>
    <w:p>
      <w:pPr>
        <w:spacing w:after="160"/>
        <w:jc w:val="both"/>
      </w:pPr>
      <w:r>
        <w:rPr>
          <w:rFonts w:ascii="Arial" w:cs="Arial" w:eastAsia="Arial" w:hAnsi="Arial"/>
          <w:color w:val="1F2937"/>
          <w:sz w:val="24"/>
          <w:szCs w:val="24"/>
        </w:rPr>
        <w:t xml:space="preserve">By the third and fourth year, BS students face the compounding challenge of managing a large accumulated credit record while ensuring they fulfill all remaining categorical requirements before graduation. The Credit Hour Progress Tracker is most impactful at this stage.</w:t>
      </w:r>
    </w:p>
    <w:p>
      <w:pPr>
        <w:spacing w:after="160"/>
        <w:jc w:val="both"/>
      </w:pPr>
      <w:r>
        <w:rPr>
          <w:rFonts w:ascii="Arial" w:cs="Arial" w:eastAsia="Arial" w:hAnsi="Arial"/>
          <w:color w:val="1F2937"/>
          <w:sz w:val="24"/>
          <w:szCs w:val="24"/>
        </w:rPr>
        <w:t xml:space="preserve">The tracker displays a live dashboard of credits completed versus required across five categories: Core Mathematics (~60 CH), Science &amp; Support (~24 CH), Elective Mathematics (~24 CH), General Education (~18 CH), and Thesis/Capstone (~6 CH). Each category has a visual progress bar that updates in real time as the student enters their completed credits. A master overall progress bar and graduation countdown (remaining credits and percentage complete) give students an immediate, honest picture of where they stand.</w:t>
      </w:r>
    </w:p>
    <w:p>
      <w:pPr>
        <w:spacing w:after="160"/>
        <w:jc w:val="both"/>
      </w:pPr>
      <w:r>
        <w:rPr>
          <w:rFonts w:ascii="Arial" w:cs="Arial" w:eastAsia="Arial" w:hAnsi="Arial"/>
          <w:color w:val="1F2937"/>
          <w:sz w:val="24"/>
          <w:szCs w:val="24"/>
        </w:rPr>
        <w:t xml:space="preserve">This visual format is deliberately chosen over a purely numerical display. Research in cognitive science consistently shows that spatial representations of progress (progress bars, completion rings) activate stronger motivational responses than numeric equivalents alone, particularly for goal-striving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r>
              <w:rPr>
                <w:rFonts w:ascii="Arial" w:cs="Arial" w:eastAsia="Arial" w:hAnsi="Arial"/>
                <w:b/>
                <w:bCs/>
                <w:color w:val="C9A227"/>
                <w:sz w:val="22"/>
                <w:szCs w:val="22"/>
              </w:rPr>
              <w:t xml:space="preserve">Category</w:t>
            </w:r>
          </w:p>
        </w:tc>
        <w:tc>
          <w:tcPr>
            <w:tcW w:type="dxa" w:w="268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pPr>
              <w:jc w:val="center"/>
            </w:pPr>
            <w:r>
              <w:rPr>
                <w:rFonts w:ascii="Arial" w:cs="Arial" w:eastAsia="Arial" w:hAnsi="Arial"/>
                <w:b/>
                <w:bCs/>
                <w:color w:val="C9A227"/>
                <w:sz w:val="22"/>
                <w:szCs w:val="22"/>
              </w:rPr>
              <w:t xml:space="preserve">Required CH</w:t>
            </w:r>
          </w:p>
        </w:tc>
        <w:tc>
          <w:tcPr>
            <w:tcW w:type="dxa" w:w="268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pPr>
              <w:jc w:val="center"/>
            </w:pPr>
            <w:r>
              <w:rPr>
                <w:rFonts w:ascii="Arial" w:cs="Arial" w:eastAsia="Arial" w:hAnsi="Arial"/>
                <w:b/>
                <w:bCs/>
                <w:color w:val="C9A227"/>
                <w:sz w:val="22"/>
                <w:szCs w:val="22"/>
              </w:rPr>
              <w:t xml:space="preserve">% of Degree</w:t>
            </w:r>
          </w:p>
        </w:tc>
      </w:tr>
      <w:tr>
        <w:tc>
          <w:tcPr>
            <w:tcW w:type="dxa" w:w="40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color w:val="1F2937"/>
                <w:sz w:val="23"/>
                <w:szCs w:val="23"/>
              </w:rPr>
              <w:t xml:space="preserve">Core Mathematics</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b/>
                <w:bCs/>
                <w:color w:val="0E7C7B"/>
                <w:sz w:val="23"/>
                <w:szCs w:val="23"/>
              </w:rPr>
              <w:t xml:space="preserve">~60 CH</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color w:val="6B7280"/>
                <w:sz w:val="23"/>
                <w:szCs w:val="23"/>
              </w:rPr>
              <w:t xml:space="preserve">46%</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1F2937"/>
                <w:sz w:val="23"/>
                <w:szCs w:val="23"/>
              </w:rPr>
              <w:t xml:space="preserve">Science &amp; Support</w:t>
            </w:r>
          </w:p>
        </w:tc>
        <w:tc>
          <w:tcPr>
            <w:tcW w:type="dxa" w:w="2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center"/>
            </w:pPr>
            <w:r>
              <w:rPr>
                <w:rFonts w:ascii="Arial" w:cs="Arial" w:eastAsia="Arial" w:hAnsi="Arial"/>
                <w:b/>
                <w:bCs/>
                <w:color w:val="0E7C7B"/>
                <w:sz w:val="23"/>
                <w:szCs w:val="23"/>
              </w:rPr>
              <w:t xml:space="preserve">~24 CH</w:t>
            </w:r>
          </w:p>
        </w:tc>
        <w:tc>
          <w:tcPr>
            <w:tcW w:type="dxa" w:w="2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center"/>
            </w:pPr>
            <w:r>
              <w:rPr>
                <w:rFonts w:ascii="Arial" w:cs="Arial" w:eastAsia="Arial" w:hAnsi="Arial"/>
                <w:color w:val="6B7280"/>
                <w:sz w:val="23"/>
                <w:szCs w:val="23"/>
              </w:rPr>
              <w:t xml:space="preserve">18%</w:t>
            </w:r>
          </w:p>
        </w:tc>
      </w:tr>
      <w:tr>
        <w:tc>
          <w:tcPr>
            <w:tcW w:type="dxa" w:w="40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color w:val="1F2937"/>
                <w:sz w:val="23"/>
                <w:szCs w:val="23"/>
              </w:rPr>
              <w:t xml:space="preserve">Elective Mathematics</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b/>
                <w:bCs/>
                <w:color w:val="0E7C7B"/>
                <w:sz w:val="23"/>
                <w:szCs w:val="23"/>
              </w:rPr>
              <w:t xml:space="preserve">~24 CH</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color w:val="6B7280"/>
                <w:sz w:val="23"/>
                <w:szCs w:val="23"/>
              </w:rPr>
              <w:t xml:space="preserve">18%</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1F2937"/>
                <w:sz w:val="23"/>
                <w:szCs w:val="23"/>
              </w:rPr>
              <w:t xml:space="preserve">General Education</w:t>
            </w:r>
          </w:p>
        </w:tc>
        <w:tc>
          <w:tcPr>
            <w:tcW w:type="dxa" w:w="2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center"/>
            </w:pPr>
            <w:r>
              <w:rPr>
                <w:rFonts w:ascii="Arial" w:cs="Arial" w:eastAsia="Arial" w:hAnsi="Arial"/>
                <w:b/>
                <w:bCs/>
                <w:color w:val="0E7C7B"/>
                <w:sz w:val="23"/>
                <w:szCs w:val="23"/>
              </w:rPr>
              <w:t xml:space="preserve">~18 CH</w:t>
            </w:r>
          </w:p>
        </w:tc>
        <w:tc>
          <w:tcPr>
            <w:tcW w:type="dxa" w:w="2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center"/>
            </w:pPr>
            <w:r>
              <w:rPr>
                <w:rFonts w:ascii="Arial" w:cs="Arial" w:eastAsia="Arial" w:hAnsi="Arial"/>
                <w:color w:val="6B7280"/>
                <w:sz w:val="23"/>
                <w:szCs w:val="23"/>
              </w:rPr>
              <w:t xml:space="preserve">14%</w:t>
            </w:r>
          </w:p>
        </w:tc>
      </w:tr>
      <w:tr>
        <w:tc>
          <w:tcPr>
            <w:tcW w:type="dxa" w:w="40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color w:val="1F2937"/>
                <w:sz w:val="23"/>
                <w:szCs w:val="23"/>
              </w:rPr>
              <w:t xml:space="preserve">Thesis / Capstone</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b/>
                <w:bCs/>
                <w:color w:val="0E7C7B"/>
                <w:sz w:val="23"/>
                <w:szCs w:val="23"/>
              </w:rPr>
              <w:t xml:space="preserve">~6 CH</w:t>
            </w:r>
          </w:p>
        </w:tc>
        <w:tc>
          <w:tcPr>
            <w:tcW w:type="dxa" w:w="26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center"/>
            </w:pPr>
            <w:r>
              <w:rPr>
                <w:rFonts w:ascii="Arial" w:cs="Arial" w:eastAsia="Arial" w:hAnsi="Arial"/>
                <w:color w:val="6B7280"/>
                <w:sz w:val="23"/>
                <w:szCs w:val="23"/>
              </w:rPr>
              <w:t xml:space="preserve">5%</w:t>
            </w:r>
          </w:p>
        </w:tc>
      </w:tr>
    </w:tbl>
    <w:p>
      <w:pPr>
        <w:spacing w:after="160"/>
      </w:pPr>
      <w:r>
        <w:t xml:space="preserve"/>
      </w:r>
    </w:p>
    <w:p>
      <w:pPr>
        <w:pStyle w:val="Heading2"/>
        <w:spacing w:after="120" w:before="240"/>
      </w:pPr>
      <w:r>
        <w:rPr>
          <w:rFonts w:ascii="Arial" w:cs="Arial" w:eastAsia="Arial" w:hAnsi="Arial"/>
          <w:b/>
          <w:bCs/>
        </w:rPr>
        <w:t xml:space="preserve">4.3 CGPA Management Across the Full Program</w:t>
      </w:r>
    </w:p>
    <w:p>
      <w:pPr>
        <w:spacing w:after="160"/>
        <w:jc w:val="both"/>
      </w:pPr>
      <w:r>
        <w:rPr>
          <w:rFonts w:ascii="Arial" w:cs="Arial" w:eastAsia="Arial" w:hAnsi="Arial"/>
          <w:color w:val="1F2937"/>
          <w:sz w:val="24"/>
          <w:szCs w:val="24"/>
        </w:rPr>
        <w:t xml:space="preserve">The CGPA Calculator serves BS students throughout their four-year journey. By maintaining a running record of each semester's GPA and credit hours, students can see their cumulative trajectory in real time. The tool's Target GPA Planner — where students enter a desired CGPA and their remaining credit hours to calculate the required future GPA — is especially powerful for students recovering from a difficult semester. Rather than experiencing a vague sense that a low semester has permanently damaged their academic standing, students can calculate precisely: "I need a 3.6 GPA over my remaining 45 credit hours to achieve a final CGPA of 3.3." This conversion of anxiety into goal converts passive worry into active planning.</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5. Benefits for MS Mathematics Students</w:t>
      </w:r>
    </w:p>
    <w:p>
      <w:pPr>
        <w:spacing w:after="160"/>
        <w:jc w:val="both"/>
      </w:pPr>
      <w:r>
        <w:rPr>
          <w:rFonts w:ascii="Arial" w:cs="Arial" w:eastAsia="Arial" w:hAnsi="Arial"/>
          <w:color w:val="1F2937"/>
          <w:sz w:val="24"/>
          <w:szCs w:val="24"/>
        </w:rPr>
        <w:t xml:space="preserve">Graduate students in mathematics programs face a distinct set of pressures compared to their undergraduate counterparts. The programs are shorter, the grading standards are higher, the stakes of individual courses are amplified, and students are often balancing coursework with research responsibilities, teaching assistantships, and professional development. The calculator addresses these specific challenges.</w:t>
      </w:r>
    </w:p>
    <w:p>
      <w:pPr>
        <w:pStyle w:val="Heading2"/>
        <w:spacing w:after="120" w:before="240"/>
      </w:pPr>
      <w:r>
        <w:rPr>
          <w:rFonts w:ascii="Arial" w:cs="Arial" w:eastAsia="Arial" w:hAnsi="Arial"/>
          <w:b/>
          <w:bCs/>
        </w:rPr>
        <w:t xml:space="preserve">5.1 Higher GPA Stakes and Tighter Margins</w:t>
      </w:r>
    </w:p>
    <w:p>
      <w:pPr>
        <w:spacing w:after="160"/>
        <w:jc w:val="both"/>
      </w:pPr>
      <w:r>
        <w:rPr>
          <w:rFonts w:ascii="Arial" w:cs="Arial" w:eastAsia="Arial" w:hAnsi="Arial"/>
          <w:color w:val="1F2937"/>
          <w:sz w:val="24"/>
          <w:szCs w:val="24"/>
        </w:rPr>
        <w:t xml:space="preserve">MS Mathematics programs typically require students to maintain a minimum CGPA of 3.0 for degree completion. This is a significantly higher floor than the undergraduate minimum, and the shorter program duration (typically 36 credit hours) means there are fewer opportunities to recover from a poor semester. A single semester with a low GPA can move the cumulative average meaningfully, and students who are close to the 3.0 threshold experience particularly acute anxiety.</w:t>
      </w:r>
    </w:p>
    <w:p>
      <w:pPr>
        <w:spacing w:after="160"/>
        <w:jc w:val="both"/>
      </w:pPr>
      <w:r>
        <w:rPr>
          <w:rFonts w:ascii="Arial" w:cs="Arial" w:eastAsia="Arial" w:hAnsi="Arial"/>
          <w:color w:val="1F2937"/>
          <w:sz w:val="24"/>
          <w:szCs w:val="24"/>
        </w:rPr>
        <w:t xml:space="preserve">The CGPA Calculator with its Target GPA Planner is directly responsive to this anxiety. A student currently at 2.85 CGPA with 18 credit hours remaining can enter their target of 3.0 and immediately learn that they need a 3.15 GPA over the remaining credits — a challenging but achievable goal that transforms abstract fear into a concrete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
        <w:gridCol w:w="9160"/>
      </w:tblGrid>
      <w:tr>
        <w:tc>
          <w:tcPr>
            <w:tcW w:type="dxa" w:w="200"/>
            <w:tcBorders>
              <w:top w:val="single" w:color="D1D5DB" w:sz="1"/>
              <w:left w:val="single" w:color="D1D5DB" w:sz="1"/>
              <w:bottom w:val="single" w:color="D1D5DB" w:sz="1"/>
              <w:right w:val="none" w:color="FFFFFF" w:sz="0"/>
            </w:tcBorders>
            <w:shd w:fill="EF444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INSIGHT</w:t>
            </w:r>
          </w:p>
        </w:tc>
        <w:tc>
          <w:tcPr>
            <w:tcW w:type="dxa" w:w="9160"/>
            <w:tcBorders>
              <w:top w:val="single" w:color="D1D5DB" w:sz="1"/>
              <w:left w:val="none" w:color="FFFFFF" w:sz="0"/>
              <w:bottom w:val="single" w:color="D1D5DB" w:sz="1"/>
              <w:right w:val="single" w:color="D1D5DB" w:sz="1"/>
            </w:tcBorders>
            <w:shd w:fill="FEF2F2" w:val="clear"/>
            <w:tcMar>
              <w:top w:type="dxa" w:w="100"/>
              <w:left w:type="dxa" w:w="160"/>
              <w:bottom w:type="dxa" w:w="100"/>
              <w:right w:type="dxa" w:w="120"/>
            </w:tcMar>
          </w:tcPr>
          <w:p>
            <w:pPr>
              <w:jc w:val="both"/>
            </w:pPr>
            <w:r>
              <w:rPr>
                <w:rFonts w:ascii="Arial" w:cs="Arial" w:eastAsia="Arial" w:hAnsi="Arial"/>
                <w:color w:val="1F2937"/>
                <w:sz w:val="22"/>
                <w:szCs w:val="22"/>
              </w:rPr>
              <w:t xml:space="preserve">For MS students near the academic probation threshold, the ability to quantify exactly what GPA is needed in remaining courses to remain in good standing or qualify for graduation is not a convenience — it is a critical decision-support tool.</w:t>
            </w:r>
          </w:p>
        </w:tc>
      </w:tr>
    </w:tbl>
    <w:p>
      <w:pPr>
        <w:spacing w:after="120"/>
      </w:pPr>
      <w:r>
        <w:t xml:space="preserve"/>
      </w:r>
    </w:p>
    <w:p>
      <w:pPr>
        <w:pStyle w:val="Heading2"/>
        <w:spacing w:after="120" w:before="240"/>
      </w:pPr>
      <w:r>
        <w:rPr>
          <w:rFonts w:ascii="Arial" w:cs="Arial" w:eastAsia="Arial" w:hAnsi="Arial"/>
          <w:b/>
          <w:bCs/>
        </w:rPr>
        <w:t xml:space="preserve">5.2 Efficient Navigation of Compact Requirements</w:t>
      </w:r>
    </w:p>
    <w:p>
      <w:pPr>
        <w:spacing w:after="160"/>
        <w:jc w:val="both"/>
      </w:pPr>
      <w:r>
        <w:rPr>
          <w:rFonts w:ascii="Arial" w:cs="Arial" w:eastAsia="Arial" w:hAnsi="Arial"/>
          <w:color w:val="1F2937"/>
          <w:sz w:val="24"/>
          <w:szCs w:val="24"/>
        </w:rPr>
        <w:t xml:space="preserve">The MS Mathematics program structure — typically 18 CH of core graduate courses, 12 CH of graduate electives, and 6 CH of research or thesis — appears simpler than the BS structure but demands careful attention to sequencing and fulfillment. The Credit Hour Progress Tracker for MS mode displays all three categories with individual progress bars and a unified completion percentage.</w:t>
      </w:r>
    </w:p>
    <w:p>
      <w:pPr>
        <w:spacing w:after="160"/>
        <w:jc w:val="both"/>
      </w:pPr>
      <w:r>
        <w:rPr>
          <w:rFonts w:ascii="Arial" w:cs="Arial" w:eastAsia="Arial" w:hAnsi="Arial"/>
          <w:color w:val="1F2937"/>
          <w:sz w:val="24"/>
          <w:szCs w:val="24"/>
        </w:rPr>
        <w:t xml:space="preserve">For students who arrive mid-program or who have transferred credits, this tracker provides an immediate clarity that often takes multiple advising appointments to establish through institutional channels. The ability to input current credit counts and see remaining requirements across all categories simultaneously is a genuine time-saver and stress reducer.</w:t>
      </w:r>
    </w:p>
    <w:p>
      <w:pPr>
        <w:pStyle w:val="Heading2"/>
        <w:spacing w:after="120" w:before="240"/>
      </w:pPr>
      <w:r>
        <w:rPr>
          <w:rFonts w:ascii="Arial" w:cs="Arial" w:eastAsia="Arial" w:hAnsi="Arial"/>
          <w:b/>
          <w:bCs/>
        </w:rPr>
        <w:t xml:space="preserve">5.3 Research and Thesis Planning</w:t>
      </w:r>
    </w:p>
    <w:p>
      <w:pPr>
        <w:spacing w:after="160"/>
        <w:jc w:val="both"/>
      </w:pPr>
      <w:r>
        <w:rPr>
          <w:rFonts w:ascii="Arial" w:cs="Arial" w:eastAsia="Arial" w:hAnsi="Arial"/>
          <w:color w:val="1F2937"/>
          <w:sz w:val="24"/>
          <w:szCs w:val="24"/>
        </w:rPr>
        <w:t xml:space="preserve">Many MS students underestimate the credit weight of the research or thesis component (typically 6 CH) and delay its initiation. The credit tracker's visual display of the thesis category as a distinct, unfilled bar serves as a persistent reminder of this requirement. Students who see their Core and Elective bars at 80-90% completion but their Research bar at 0% receive an immediate, visual prompt to initiate their thesis work — a benefit that cannot be replicated by a static handbook or a reminder email sent once per semester.</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6. The Grade Reference Module and Academic Transparency</w:t>
      </w:r>
    </w:p>
    <w:p>
      <w:pPr>
        <w:spacing w:after="160"/>
        <w:jc w:val="both"/>
      </w:pPr>
      <w:r>
        <w:rPr>
          <w:rFonts w:ascii="Arial" w:cs="Arial" w:eastAsia="Arial" w:hAnsi="Arial"/>
          <w:color w:val="1F2937"/>
          <w:sz w:val="24"/>
          <w:szCs w:val="24"/>
        </w:rPr>
        <w:t xml:space="preserve">The Grade Reference tab serves a function that is often underestimated in its importance: it makes the grading system fully transparent and immediately interpretable. This transparency has several concrete benefits for students.</w:t>
      </w:r>
    </w:p>
    <w:p>
      <w:pPr>
        <w:pStyle w:val="Heading2"/>
        <w:spacing w:after="120" w:before="240"/>
      </w:pPr>
      <w:r>
        <w:rPr>
          <w:rFonts w:ascii="Arial" w:cs="Arial" w:eastAsia="Arial" w:hAnsi="Arial"/>
          <w:b/>
          <w:bCs/>
        </w:rPr>
        <w:t xml:space="preserve">6.1 Demystifying the 4.0 Scale</w:t>
      </w:r>
    </w:p>
    <w:p>
      <w:pPr>
        <w:spacing w:after="160"/>
        <w:jc w:val="both"/>
      </w:pPr>
      <w:r>
        <w:rPr>
          <w:rFonts w:ascii="Arial" w:cs="Arial" w:eastAsia="Arial" w:hAnsi="Arial"/>
          <w:color w:val="1F2937"/>
          <w:sz w:val="24"/>
          <w:szCs w:val="24"/>
        </w:rPr>
        <w:t xml:space="preserve">The 4.0 grade point scale, while widely used, is not intuitive to all students — particularly international students whose home educational systems use different scales, or first-generation college students who have not had family members explain the implications of fractional grade point differences. The grade reference module displays all twelve grade levels (A+ through F) with their corresponding grade points and percentage ranges in a clear, visual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60"/>
        <w:gridCol w:w="1200"/>
        <w:gridCol w:w="1560"/>
        <w:gridCol w:w="1560"/>
        <w:gridCol w:w="1200"/>
        <w:gridCol w:w="1560"/>
      </w:tblGrid>
      <w:tr>
        <w:tc>
          <w:tcPr>
            <w:tcW w:type="dxa" w:w="120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Grade</w:t>
            </w:r>
          </w:p>
        </w:tc>
        <w:tc>
          <w:tcPr>
            <w:tcW w:type="dxa" w:w="156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Points</w:t>
            </w:r>
          </w:p>
        </w:tc>
        <w:tc>
          <w:tcPr>
            <w:tcW w:type="dxa" w:w="156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w:t>
            </w:r>
          </w:p>
        </w:tc>
        <w:tc>
          <w:tcPr>
            <w:tcW w:type="dxa" w:w="120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Grade</w:t>
            </w:r>
          </w:p>
        </w:tc>
        <w:tc>
          <w:tcPr>
            <w:tcW w:type="dxa" w:w="156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Points</w:t>
            </w:r>
          </w:p>
        </w:tc>
        <w:tc>
          <w:tcPr>
            <w:tcW w:type="dxa" w:w="156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w:t>
            </w:r>
          </w:p>
        </w:tc>
        <w:tc>
          <w:tcPr>
            <w:tcW w:type="dxa" w:w="120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Grade</w:t>
            </w:r>
          </w:p>
        </w:tc>
        <w:tc>
          <w:tcPr>
            <w:tcW w:type="dxa" w:w="1560"/>
            <w:tcBorders>
              <w:top w:val="single" w:color="E5E7EB" w:sz="1"/>
              <w:left w:val="single" w:color="E5E7EB" w:sz="1"/>
              <w:bottom w:val="single" w:color="E5E7EB" w:sz="1"/>
              <w:right w:val="single" w:color="E5E7EB" w:sz="1"/>
            </w:tcBorders>
            <w:shd w:fill="0A0F1E" w:val="clear"/>
            <w:tcMar>
              <w:top w:type="dxa" w:w="80"/>
              <w:left w:type="dxa" w:w="100"/>
              <w:bottom w:type="dxa" w:w="80"/>
              <w:right w:type="dxa" w:w="80"/>
            </w:tcMar>
          </w:tcPr>
          <w:p>
            <w:pPr>
              <w:jc w:val="center"/>
            </w:pPr>
            <w:r>
              <w:rPr>
                <w:rFonts w:ascii="Arial" w:cs="Arial" w:eastAsia="Arial" w:hAnsi="Arial"/>
                <w:b/>
                <w:bCs/>
                <w:color w:val="C9A227"/>
                <w:sz w:val="20"/>
                <w:szCs w:val="20"/>
              </w:rPr>
              <w:t xml:space="preserve">Points</w:t>
            </w:r>
          </w:p>
        </w:tc>
      </w:tr>
      <w:tr>
        <w:tc>
          <w:tcPr>
            <w:tcW w:type="dxa" w:w="120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A+</w:t>
            </w:r>
          </w:p>
        </w:tc>
        <w:tc>
          <w:tcPr>
            <w:tcW w:type="dxa" w:w="156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4.0</w:t>
            </w:r>
          </w:p>
        </w:tc>
        <w:tc>
          <w:tcPr>
            <w:tcW w:type="dxa" w:w="156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97-100</w:t>
            </w:r>
          </w:p>
        </w:tc>
        <w:tc>
          <w:tcPr>
            <w:tcW w:type="dxa" w:w="120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A</w:t>
            </w:r>
          </w:p>
        </w:tc>
        <w:tc>
          <w:tcPr>
            <w:tcW w:type="dxa" w:w="156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4.0</w:t>
            </w:r>
          </w:p>
        </w:tc>
        <w:tc>
          <w:tcPr>
            <w:tcW w:type="dxa" w:w="156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93-96</w:t>
            </w:r>
          </w:p>
        </w:tc>
        <w:tc>
          <w:tcPr>
            <w:tcW w:type="dxa" w:w="120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A-</w:t>
            </w:r>
          </w:p>
        </w:tc>
        <w:tc>
          <w:tcPr>
            <w:tcW w:type="dxa" w:w="1560"/>
            <w:tcBorders>
              <w:top w:val="single" w:color="E5E7EB" w:sz="1"/>
              <w:left w:val="single" w:color="E5E7EB" w:sz="1"/>
              <w:bottom w:val="single" w:color="E5E7EB" w:sz="1"/>
              <w:right w:val="single" w:color="E5E7EB" w:sz="1"/>
            </w:tcBorders>
            <w:shd w:fill="EBF5EA" w:val="clear"/>
            <w:tcMar>
              <w:top w:type="dxa" w:w="60"/>
              <w:left w:type="dxa" w:w="100"/>
              <w:bottom w:type="dxa" w:w="60"/>
              <w:right w:type="dxa" w:w="80"/>
            </w:tcMar>
          </w:tcPr>
          <w:p>
            <w:pPr>
              <w:jc w:val="center"/>
            </w:pPr>
            <w:r>
              <w:rPr>
                <w:rFonts w:ascii="Arial" w:cs="Arial" w:eastAsia="Arial" w:hAnsi="Arial"/>
                <w:color w:val="1F2937"/>
                <w:sz w:val="22"/>
                <w:szCs w:val="22"/>
              </w:rPr>
              <w:t xml:space="preserve">3.7</w:t>
            </w:r>
          </w:p>
        </w:tc>
      </w:tr>
      <w:tr>
        <w:tc>
          <w:tcPr>
            <w:tcW w:type="dxa" w:w="120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B+</w:t>
            </w:r>
          </w:p>
        </w:tc>
        <w:tc>
          <w:tcPr>
            <w:tcW w:type="dxa" w:w="156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3.3</w:t>
            </w:r>
          </w:p>
        </w:tc>
        <w:tc>
          <w:tcPr>
            <w:tcW w:type="dxa" w:w="156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87-89</w:t>
            </w:r>
          </w:p>
        </w:tc>
        <w:tc>
          <w:tcPr>
            <w:tcW w:type="dxa" w:w="120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B</w:t>
            </w:r>
          </w:p>
        </w:tc>
        <w:tc>
          <w:tcPr>
            <w:tcW w:type="dxa" w:w="156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3.0</w:t>
            </w:r>
          </w:p>
        </w:tc>
        <w:tc>
          <w:tcPr>
            <w:tcW w:type="dxa" w:w="156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83-86</w:t>
            </w:r>
          </w:p>
        </w:tc>
        <w:tc>
          <w:tcPr>
            <w:tcW w:type="dxa" w:w="120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B-</w:t>
            </w:r>
          </w:p>
        </w:tc>
        <w:tc>
          <w:tcPr>
            <w:tcW w:type="dxa" w:w="1560"/>
            <w:tcBorders>
              <w:top w:val="single" w:color="E5E7EB" w:sz="1"/>
              <w:left w:val="single" w:color="E5E7EB" w:sz="1"/>
              <w:bottom w:val="single" w:color="E5E7EB" w:sz="1"/>
              <w:right w:val="single" w:color="E5E7EB" w:sz="1"/>
            </w:tcBorders>
            <w:shd w:fill="E8F4FD" w:val="clear"/>
            <w:tcMar>
              <w:top w:type="dxa" w:w="60"/>
              <w:left w:type="dxa" w:w="100"/>
              <w:bottom w:type="dxa" w:w="60"/>
              <w:right w:type="dxa" w:w="80"/>
            </w:tcMar>
          </w:tcPr>
          <w:p>
            <w:pPr>
              <w:jc w:val="center"/>
            </w:pPr>
            <w:r>
              <w:rPr>
                <w:rFonts w:ascii="Arial" w:cs="Arial" w:eastAsia="Arial" w:hAnsi="Arial"/>
                <w:color w:val="1F2937"/>
                <w:sz w:val="22"/>
                <w:szCs w:val="22"/>
              </w:rPr>
              <w:t xml:space="preserve">2.7</w:t>
            </w:r>
          </w:p>
        </w:tc>
      </w:tr>
      <w:tr>
        <w:tc>
          <w:tcPr>
            <w:tcW w:type="dxa" w:w="120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C+</w:t>
            </w:r>
          </w:p>
        </w:tc>
        <w:tc>
          <w:tcPr>
            <w:tcW w:type="dxa" w:w="156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2.3</w:t>
            </w:r>
          </w:p>
        </w:tc>
        <w:tc>
          <w:tcPr>
            <w:tcW w:type="dxa" w:w="156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77-79</w:t>
            </w:r>
          </w:p>
        </w:tc>
        <w:tc>
          <w:tcPr>
            <w:tcW w:type="dxa" w:w="120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C</w:t>
            </w:r>
          </w:p>
        </w:tc>
        <w:tc>
          <w:tcPr>
            <w:tcW w:type="dxa" w:w="156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2.0</w:t>
            </w:r>
          </w:p>
        </w:tc>
        <w:tc>
          <w:tcPr>
            <w:tcW w:type="dxa" w:w="156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73-76</w:t>
            </w:r>
          </w:p>
        </w:tc>
        <w:tc>
          <w:tcPr>
            <w:tcW w:type="dxa" w:w="120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D</w:t>
            </w:r>
          </w:p>
        </w:tc>
        <w:tc>
          <w:tcPr>
            <w:tcW w:type="dxa" w:w="1560"/>
            <w:tcBorders>
              <w:top w:val="single" w:color="E5E7EB" w:sz="1"/>
              <w:left w:val="single" w:color="E5E7EB" w:sz="1"/>
              <w:bottom w:val="single" w:color="E5E7EB" w:sz="1"/>
              <w:right w:val="single" w:color="E5E7EB" w:sz="1"/>
            </w:tcBorders>
            <w:shd w:fill="FEF9E7" w:val="clear"/>
            <w:tcMar>
              <w:top w:type="dxa" w:w="60"/>
              <w:left w:type="dxa" w:w="100"/>
              <w:bottom w:type="dxa" w:w="60"/>
              <w:right w:type="dxa" w:w="80"/>
            </w:tcMar>
          </w:tcPr>
          <w:p>
            <w:pPr>
              <w:jc w:val="center"/>
            </w:pPr>
            <w:r>
              <w:rPr>
                <w:rFonts w:ascii="Arial" w:cs="Arial" w:eastAsia="Arial" w:hAnsi="Arial"/>
                <w:color w:val="1F2937"/>
                <w:sz w:val="22"/>
                <w:szCs w:val="22"/>
              </w:rPr>
              <w:t xml:space="preserve">1.0</w:t>
            </w:r>
          </w:p>
        </w:tc>
      </w:tr>
    </w:tbl>
    <w:p>
      <w:pPr>
        <w:spacing w:after="160"/>
      </w:pPr>
      <w:r>
        <w:t xml:space="preserve"/>
      </w:r>
    </w:p>
    <w:p>
      <w:pPr>
        <w:pStyle w:val="Heading2"/>
        <w:spacing w:after="120" w:before="240"/>
      </w:pPr>
      <w:r>
        <w:rPr>
          <w:rFonts w:ascii="Arial" w:cs="Arial" w:eastAsia="Arial" w:hAnsi="Arial"/>
          <w:b/>
          <w:bCs/>
        </w:rPr>
        <w:t xml:space="preserve">6.2 Academic Standing Guide</w:t>
      </w:r>
    </w:p>
    <w:p>
      <w:pPr>
        <w:spacing w:after="160"/>
        <w:jc w:val="both"/>
      </w:pPr>
      <w:r>
        <w:rPr>
          <w:rFonts w:ascii="Arial" w:cs="Arial" w:eastAsia="Arial" w:hAnsi="Arial"/>
          <w:color w:val="1F2937"/>
          <w:sz w:val="24"/>
          <w:szCs w:val="24"/>
        </w:rPr>
        <w:t xml:space="preserve">Beyond individual grade point lookup, the Grade Reference module includes a comprehensive academic standing table that maps GPA ranges to institutional classifications (Summa Cum Laude, Magna Cum Laude, Good Standing, Satisfactory, Probation) and provides guidance on what each standing means for students. This helps students understand not just their raw GPA but its qualitative interpretation.</w:t>
      </w:r>
    </w:p>
    <w:p>
      <w:pPr>
        <w:pStyle w:val="Heading2"/>
        <w:spacing w:after="120" w:before="240"/>
      </w:pPr>
      <w:r>
        <w:rPr>
          <w:rFonts w:ascii="Arial" w:cs="Arial" w:eastAsia="Arial" w:hAnsi="Arial"/>
          <w:b/>
          <w:bCs/>
        </w:rPr>
        <w:t xml:space="preserve">6.3 Degree Requirement Comparison</w:t>
      </w:r>
    </w:p>
    <w:p>
      <w:pPr>
        <w:spacing w:after="160"/>
        <w:jc w:val="both"/>
      </w:pPr>
      <w:r>
        <w:rPr>
          <w:rFonts w:ascii="Arial" w:cs="Arial" w:eastAsia="Arial" w:hAnsi="Arial"/>
          <w:color w:val="1F2937"/>
          <w:sz w:val="24"/>
          <w:szCs w:val="24"/>
        </w:rPr>
        <w:t xml:space="preserve">The Grade Reference tab also presents a side-by-side comparison of BS and MS degree requirements, including total credits, key course categories, minimum GPA requirements, and special requirements such as comprehensive examinations. This comparison is valuable for BS students who are considering graduate school, providing clear visibility into what an MS program will demand before they commit to the path.</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7. Comparative Analysis: BS vs. MS Student Use Cases</w:t>
      </w:r>
    </w:p>
    <w:p>
      <w:pPr>
        <w:spacing w:after="160"/>
        <w:jc w:val="both"/>
      </w:pPr>
      <w:r>
        <w:rPr>
          <w:rFonts w:ascii="Arial" w:cs="Arial" w:eastAsia="Arial" w:hAnsi="Arial"/>
          <w:color w:val="1F2937"/>
          <w:sz w:val="24"/>
          <w:szCs w:val="24"/>
        </w:rPr>
        <w:t xml:space="preserve">While both BS and MS students benefit from all four modules of the calculator, the relative importance of each module differs significantly between the two groups. The following table summarizes these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r>
              <w:rPr>
                <w:rFonts w:ascii="Arial" w:cs="Arial" w:eastAsia="Arial" w:hAnsi="Arial"/>
                <w:b/>
                <w:bCs/>
                <w:color w:val="C9A227"/>
                <w:sz w:val="22"/>
                <w:szCs w:val="22"/>
              </w:rPr>
              <w:t xml:space="preserve">Feature</w:t>
            </w:r>
          </w:p>
        </w:tc>
        <w:tc>
          <w:tcPr>
            <w:tcW w:type="dxa" w:w="328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pPr>
              <w:jc w:val="center"/>
            </w:pPr>
            <w:r>
              <w:rPr>
                <w:rFonts w:ascii="Arial" w:cs="Arial" w:eastAsia="Arial" w:hAnsi="Arial"/>
                <w:b/>
                <w:bCs/>
                <w:color w:val="C9A227"/>
                <w:sz w:val="22"/>
                <w:szCs w:val="22"/>
              </w:rPr>
              <w:t xml:space="preserve">BS Students</w:t>
            </w:r>
          </w:p>
        </w:tc>
        <w:tc>
          <w:tcPr>
            <w:tcW w:type="dxa" w:w="3280"/>
            <w:tcBorders>
              <w:top w:val="single" w:color="E5E7EB" w:sz="1"/>
              <w:left w:val="single" w:color="E5E7EB" w:sz="1"/>
              <w:bottom w:val="single" w:color="E5E7EB" w:sz="1"/>
              <w:right w:val="single" w:color="E5E7EB" w:sz="1"/>
            </w:tcBorders>
            <w:shd w:fill="0A0F1E" w:val="clear"/>
            <w:tcMar>
              <w:top w:type="dxa" w:w="100"/>
              <w:left w:type="dxa" w:w="160"/>
              <w:bottom w:type="dxa" w:w="100"/>
              <w:right w:type="dxa" w:w="120"/>
            </w:tcMar>
          </w:tcPr>
          <w:p>
            <w:pPr>
              <w:jc w:val="center"/>
            </w:pPr>
            <w:r>
              <w:rPr>
                <w:rFonts w:ascii="Arial" w:cs="Arial" w:eastAsia="Arial" w:hAnsi="Arial"/>
                <w:b/>
                <w:bCs/>
                <w:color w:val="C9A227"/>
                <w:sz w:val="22"/>
                <w:szCs w:val="22"/>
              </w:rPr>
              <w:t xml:space="preserve">MS Students</w:t>
            </w:r>
          </w:p>
        </w:tc>
      </w:tr>
      <w:tr>
        <w:tc>
          <w:tcPr>
            <w:tcW w:type="dxa" w:w="28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b/>
                <w:bCs/>
                <w:color w:val="1E2740"/>
                <w:sz w:val="22"/>
                <w:szCs w:val="22"/>
              </w:rPr>
              <w:t xml:space="preserve">Semester GPA Calculator</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Critical in every semester; helps novice students understand grade impact</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Important but secondary to CGPA; each semester carries higher stakes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bCs/>
                <w:color w:val="1E2740"/>
                <w:sz w:val="22"/>
                <w:szCs w:val="22"/>
              </w:rPr>
              <w:t xml:space="preserve">CGPA Calculator</w:t>
            </w:r>
          </w:p>
        </w:tc>
        <w:tc>
          <w:tcPr>
            <w:tcW w:type="dxa" w:w="32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both"/>
            </w:pPr>
            <w:r>
              <w:rPr>
                <w:rFonts w:ascii="Arial" w:cs="Arial" w:eastAsia="Arial" w:hAnsi="Arial"/>
                <w:color w:val="1F2937"/>
                <w:sz w:val="22"/>
                <w:szCs w:val="22"/>
              </w:rPr>
              <w:t xml:space="preserve">Used to track long-term trends over 8 semesters; recovery planning over multiple years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both"/>
            </w:pPr>
            <w:r>
              <w:rPr>
                <w:rFonts w:ascii="Arial" w:cs="Arial" w:eastAsia="Arial" w:hAnsi="Arial"/>
                <w:color w:val="1F2937"/>
                <w:sz w:val="22"/>
                <w:szCs w:val="22"/>
              </w:rPr>
              <w:t xml:space="preserve">Essential — small program means each semester dramatically shifts CGPA</w:t>
            </w:r>
          </w:p>
        </w:tc>
      </w:tr>
      <w:tr>
        <w:tc>
          <w:tcPr>
            <w:tcW w:type="dxa" w:w="28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b/>
                <w:bCs/>
                <w:color w:val="1E2740"/>
                <w:sz w:val="22"/>
                <w:szCs w:val="22"/>
              </w:rPr>
              <w:t xml:space="preserve">Target GPA Planner</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Useful after difficult semesters; longer time horizon for recovery</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Critical — narrow margin to maintain 3.0; fewer remaining credits to recover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bCs/>
                <w:color w:val="1E2740"/>
                <w:sz w:val="22"/>
                <w:szCs w:val="22"/>
              </w:rPr>
              <w:t xml:space="preserve">Credit Hour Tracker</w:t>
            </w:r>
          </w:p>
        </w:tc>
        <w:tc>
          <w:tcPr>
            <w:tcW w:type="dxa" w:w="32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both"/>
            </w:pPr>
            <w:r>
              <w:rPr>
                <w:rFonts w:ascii="Arial" w:cs="Arial" w:eastAsia="Arial" w:hAnsi="Arial"/>
                <w:color w:val="1F2937"/>
                <w:sz w:val="22"/>
                <w:szCs w:val="22"/>
              </w:rPr>
              <w:t xml:space="preserve">Complex 5-category system; essential for 4-year graduation planning</w:t>
            </w:r>
          </w:p>
        </w:tc>
        <w:tc>
          <w:tcPr>
            <w:tcW w:type="dxa" w:w="32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jc w:val="both"/>
            </w:pPr>
            <w:r>
              <w:rPr>
                <w:rFonts w:ascii="Arial" w:cs="Arial" w:eastAsia="Arial" w:hAnsi="Arial"/>
                <w:color w:val="1F2937"/>
                <w:sz w:val="22"/>
                <w:szCs w:val="22"/>
              </w:rPr>
              <w:t xml:space="preserve">Simpler 3-category system; most useful for thesis/research tracking</w:t>
            </w:r>
          </w:p>
        </w:tc>
      </w:tr>
      <w:tr>
        <w:tc>
          <w:tcPr>
            <w:tcW w:type="dxa" w:w="280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r>
              <w:rPr>
                <w:rFonts w:ascii="Arial" w:cs="Arial" w:eastAsia="Arial" w:hAnsi="Arial"/>
                <w:b/>
                <w:bCs/>
                <w:color w:val="1E2740"/>
                <w:sz w:val="22"/>
                <w:szCs w:val="22"/>
              </w:rPr>
              <w:t xml:space="preserve">Grade Reference</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Foundational literacy; many BS students learning GPA system for first time</w:t>
            </w:r>
          </w:p>
        </w:tc>
        <w:tc>
          <w:tcPr>
            <w:tcW w:type="dxa" w:w="3280"/>
            <w:tcBorders>
              <w:top w:val="single" w:color="E5E7EB" w:sz="1"/>
              <w:left w:val="single" w:color="E5E7EB" w:sz="1"/>
              <w:bottom w:val="single" w:color="E5E7EB" w:sz="1"/>
              <w:right w:val="single" w:color="E5E7EB" w:sz="1"/>
            </w:tcBorders>
            <w:shd w:fill="F5F7FA" w:val="clear"/>
            <w:tcMar>
              <w:top w:type="dxa" w:w="80"/>
              <w:left w:type="dxa" w:w="160"/>
              <w:bottom w:type="dxa" w:w="80"/>
              <w:right w:type="dxa" w:w="120"/>
            </w:tcMar>
          </w:tcPr>
          <w:p>
            <w:pPr>
              <w:jc w:val="both"/>
            </w:pPr>
            <w:r>
              <w:rPr>
                <w:rFonts w:ascii="Arial" w:cs="Arial" w:eastAsia="Arial" w:hAnsi="Arial"/>
                <w:color w:val="1F2937"/>
                <w:sz w:val="22"/>
                <w:szCs w:val="22"/>
              </w:rPr>
              <w:t xml:space="preserve">Used for standing classification and BS-to-MS comparison</w:t>
            </w:r>
          </w:p>
        </w:tc>
      </w:tr>
    </w:tbl>
    <w:p>
      <w:pPr>
        <w:spacing w:after="80"/>
      </w:pPr>
      <w:r>
        <w:t xml:space="preserve"/>
      </w:r>
    </w:p>
    <w:p>
      <w:pPr>
        <w:spacing w:after="0"/>
      </w:pPr>
      <w:r>
        <w:br w:type="page"/>
      </w:r>
    </w:p>
    <w:p>
      <w:pPr>
        <w:pStyle w:val="Heading1"/>
        <w:spacing w:after="180" w:before="360"/>
      </w:pPr>
      <w:r>
        <w:rPr>
          <w:rFonts w:ascii="Arial" w:cs="Arial" w:eastAsia="Arial" w:hAnsi="Arial"/>
          <w:b/>
          <w:bCs/>
        </w:rPr>
        <w:t xml:space="preserve">8. Broader Educational Impact and Research Evidence</w:t>
      </w:r>
    </w:p>
    <w:p>
      <w:pPr>
        <w:pStyle w:val="Heading2"/>
        <w:spacing w:after="120" w:before="240"/>
      </w:pPr>
      <w:r>
        <w:rPr>
          <w:rFonts w:ascii="Arial" w:cs="Arial" w:eastAsia="Arial" w:hAnsi="Arial"/>
          <w:b/>
          <w:bCs/>
        </w:rPr>
        <w:t xml:space="preserve">8.1 Self-Regulated Learning</w:t>
      </w:r>
    </w:p>
    <w:p>
      <w:pPr>
        <w:spacing w:after="160"/>
        <w:jc w:val="both"/>
      </w:pPr>
      <w:r>
        <w:rPr>
          <w:rFonts w:ascii="Arial" w:cs="Arial" w:eastAsia="Arial" w:hAnsi="Arial"/>
          <w:color w:val="1F2937"/>
          <w:sz w:val="24"/>
          <w:szCs w:val="24"/>
        </w:rPr>
        <w:t xml:space="preserve">The academic literature on self-regulated learning (SRL) is unambiguous: students who regularly monitor and evaluate their own academic performance outperform those who do not, across all disciplines and degree levels. The mathematics calculator directly supports three of the four SRL metacognitive processes identified by Zimmerman (2002): self-monitoring (tracking current GPA and credit status), self-evaluation (comparing current performance to goal GPA), and self-reaction (adjusting course selection and study behavior in response to information).</w:t>
      </w:r>
    </w:p>
    <w:p>
      <w:pPr>
        <w:spacing w:after="160"/>
        <w:jc w:val="both"/>
      </w:pPr>
      <w:r>
        <w:rPr>
          <w:rFonts w:ascii="Arial" w:cs="Arial" w:eastAsia="Arial" w:hAnsi="Arial"/>
          <w:color w:val="1F2937"/>
          <w:sz w:val="24"/>
          <w:szCs w:val="24"/>
        </w:rPr>
        <w:t xml:space="preserve">Critically, the tool lowers the cost of self-monitoring to near zero. When self-monitoring is effortful — requiring navigation of a complex SIS portal, manual spreadsheet calculations, or scheduling an advising appointment — students engage in it infrequently. When it is instant and frictionless, students engage in it regularly, which research shows directly improves academic outcomes.</w:t>
      </w:r>
    </w:p>
    <w:p>
      <w:pPr>
        <w:pStyle w:val="Heading2"/>
        <w:spacing w:after="120" w:before="240"/>
      </w:pPr>
      <w:r>
        <w:rPr>
          <w:rFonts w:ascii="Arial" w:cs="Arial" w:eastAsia="Arial" w:hAnsi="Arial"/>
          <w:b/>
          <w:bCs/>
        </w:rPr>
        <w:t xml:space="preserve">8.2 Goal-Setting Theory</w:t>
      </w:r>
    </w:p>
    <w:p>
      <w:pPr>
        <w:spacing w:after="160"/>
        <w:jc w:val="both"/>
      </w:pPr>
      <w:r>
        <w:rPr>
          <w:rFonts w:ascii="Arial" w:cs="Arial" w:eastAsia="Arial" w:hAnsi="Arial"/>
          <w:color w:val="1F2937"/>
          <w:sz w:val="24"/>
          <w:szCs w:val="24"/>
        </w:rPr>
        <w:t xml:space="preserve">Locke and Latham's Goal-Setting Theory holds that specific, proximal goals are more motivating and effective than vague, distal ones. The Target GPA Planner embodies this principle directly: it converts a vague desire ("I want to improve my CGPA") into a specific, actionable target ("I need to achieve a 3.4 GPA over my next 30 credit hours"). Research consistently shows that students who set specific academic goals outperform those with equivalent ability who do not, and that quantitative goal information is more motivating than qualitative encouragement.</w:t>
      </w:r>
    </w:p>
    <w:p>
      <w:pPr>
        <w:pStyle w:val="Heading2"/>
        <w:spacing w:after="120" w:before="240"/>
      </w:pPr>
      <w:r>
        <w:rPr>
          <w:rFonts w:ascii="Arial" w:cs="Arial" w:eastAsia="Arial" w:hAnsi="Arial"/>
          <w:b/>
          <w:bCs/>
        </w:rPr>
        <w:t xml:space="preserve">8.3 Reducing Decision Fatigue and Cognitive Load</w:t>
      </w:r>
    </w:p>
    <w:p>
      <w:pPr>
        <w:spacing w:after="160"/>
        <w:jc w:val="both"/>
      </w:pPr>
      <w:r>
        <w:rPr>
          <w:rFonts w:ascii="Arial" w:cs="Arial" w:eastAsia="Arial" w:hAnsi="Arial"/>
          <w:color w:val="1F2937"/>
          <w:sz w:val="24"/>
          <w:szCs w:val="24"/>
        </w:rPr>
        <w:t xml:space="preserve">Cognitive load theory (Sweller, 1988) holds that working memory is limited, and that extraneous cognitive load — the mental effort required to navigate poorly designed information environments — directly reduces the cognitive resources available for learning. By consolidating GPA calculation, credit tracking, and grade reference into a single, well-designed interface, the calculator eliminates the extraneous load of navigating multiple systems and performing mental arithmetic. This frees students to focus on the intrinsic cognitive tasks of mathematics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
        <w:gridCol w:w="9160"/>
      </w:tblGrid>
      <w:tr>
        <w:tc>
          <w:tcPr>
            <w:tcW w:type="dxa" w:w="200"/>
            <w:tcBorders>
              <w:top w:val="single" w:color="D1D5DB" w:sz="1"/>
              <w:left w:val="single" w:color="D1D5DB" w:sz="1"/>
              <w:bottom w:val="single" w:color="D1D5DB" w:sz="1"/>
              <w:right w:val="none" w:color="FFFFFF" w:sz="0"/>
            </w:tcBorders>
            <w:shd w:fill="0E7C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EVIDENCE</w:t>
            </w:r>
          </w:p>
        </w:tc>
        <w:tc>
          <w:tcPr>
            <w:tcW w:type="dxa" w:w="9160"/>
            <w:tcBorders>
              <w:top w:val="single" w:color="D1D5DB" w:sz="1"/>
              <w:left w:val="none" w:color="FFFFFF" w:sz="0"/>
              <w:bottom w:val="single" w:color="D1D5DB" w:sz="1"/>
              <w:right w:val="single" w:color="D1D5DB" w:sz="1"/>
            </w:tcBorders>
            <w:shd w:fill="EBF5FB" w:val="clear"/>
            <w:tcMar>
              <w:top w:type="dxa" w:w="100"/>
              <w:left w:type="dxa" w:w="160"/>
              <w:bottom w:type="dxa" w:w="100"/>
              <w:right w:type="dxa" w:w="120"/>
            </w:tcMar>
          </w:tcPr>
          <w:p>
            <w:pPr>
              <w:jc w:val="both"/>
            </w:pPr>
            <w:r>
              <w:rPr>
                <w:rFonts w:ascii="Arial" w:cs="Arial" w:eastAsia="Arial" w:hAnsi="Arial"/>
                <w:color w:val="1F2937"/>
                <w:sz w:val="22"/>
                <w:szCs w:val="22"/>
              </w:rPr>
              <w:t xml:space="preserve">Studies in educational technology consistently find that reducing administrative friction in academic self-monitoring tools increases their frequency of use by 3 to 5 times, which is associated with measurable improvements in grade outcomes.</w:t>
            </w:r>
          </w:p>
        </w:tc>
      </w:tr>
    </w:tbl>
    <w:p>
      <w:pPr>
        <w:spacing w:after="120"/>
      </w:pPr>
      <w:r>
        <w:t xml:space="preserve"/>
      </w:r>
    </w:p>
    <w:p>
      <w:pPr>
        <w:pStyle w:val="Heading2"/>
        <w:spacing w:after="120" w:before="240"/>
      </w:pPr>
      <w:r>
        <w:rPr>
          <w:rFonts w:ascii="Arial" w:cs="Arial" w:eastAsia="Arial" w:hAnsi="Arial"/>
          <w:b/>
          <w:bCs/>
        </w:rPr>
        <w:t xml:space="preserve">8.4 Equity and Access</w:t>
      </w:r>
    </w:p>
    <w:p>
      <w:pPr>
        <w:spacing w:after="160"/>
        <w:jc w:val="both"/>
      </w:pPr>
      <w:r>
        <w:rPr>
          <w:rFonts w:ascii="Arial" w:cs="Arial" w:eastAsia="Arial" w:hAnsi="Arial"/>
          <w:color w:val="1F2937"/>
          <w:sz w:val="24"/>
          <w:szCs w:val="24"/>
        </w:rPr>
        <w:t xml:space="preserve">Not all mathematics students have equal access to academic advising. Students at large universities may wait weeks for advising appointments. Students from lower-income backgrounds may have less access to private tutoring or supplementary support. International students may face language barriers in navigating institutional systems. The calculator is fully accessible to all students equally — it requires no appointment, no fee, no institutional affiliation, and is available in any language context with identical functionality. This equity dimension is significant: the tool serves as a democratizing force in academic planning support.</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9. Practical Use Scenarios</w:t>
      </w:r>
    </w:p>
    <w:p>
      <w:pPr>
        <w:spacing w:after="160"/>
        <w:jc w:val="both"/>
      </w:pPr>
      <w:r>
        <w:rPr>
          <w:rFonts w:ascii="Arial" w:cs="Arial" w:eastAsia="Arial" w:hAnsi="Arial"/>
          <w:color w:val="1F2937"/>
          <w:sz w:val="24"/>
          <w:szCs w:val="24"/>
        </w:rPr>
        <w:t xml:space="preserve">The following scenarios illustrate how the calculator directly supports real student situations:</w:t>
      </w:r>
    </w:p>
    <w:p>
      <w:pPr>
        <w:pStyle w:val="Heading2"/>
        <w:spacing w:after="120" w:before="240"/>
      </w:pPr>
      <w:r>
        <w:rPr>
          <w:rFonts w:ascii="Arial" w:cs="Arial" w:eastAsia="Arial" w:hAnsi="Arial"/>
          <w:b/>
          <w:bCs/>
        </w:rPr>
        <w:t xml:space="preserve">Scenario 1: Pre-Registration Planning</w:t>
      </w:r>
    </w:p>
    <w:p>
      <w:pPr>
        <w:spacing w:after="160"/>
        <w:jc w:val="both"/>
      </w:pPr>
      <w:r>
        <w:rPr>
          <w:rFonts w:ascii="Arial" w:cs="Arial" w:eastAsia="Arial" w:hAnsi="Arial"/>
          <w:color w:val="1F2937"/>
          <w:sz w:val="24"/>
          <w:szCs w:val="24"/>
        </w:rPr>
        <w:t xml:space="preserve">A third-year BS student is planning next semester's course registration and is considering whether to take a challenging 4-credit Advanced Real Analysis course or a lighter 3-credit Mathematics History elective. She uses the Semester GPA Calculator to model both options, entering her expected grade in each scenario. She discovers that taking Advanced Real Analysis and earning a B+ still improves her semester GPA more than taking Mathematics History with an A, due to the credit weight difference. This insight, which would have required 15 minutes of manual calculation, is available in 30 seconds.</w:t>
      </w:r>
    </w:p>
    <w:p>
      <w:pPr>
        <w:pStyle w:val="Heading2"/>
        <w:spacing w:after="120" w:before="240"/>
      </w:pPr>
      <w:r>
        <w:rPr>
          <w:rFonts w:ascii="Arial" w:cs="Arial" w:eastAsia="Arial" w:hAnsi="Arial"/>
          <w:b/>
          <w:bCs/>
        </w:rPr>
        <w:t xml:space="preserve">Scenario 2: Academic Recovery Planning</w:t>
      </w:r>
    </w:p>
    <w:p>
      <w:pPr>
        <w:spacing w:after="160"/>
        <w:jc w:val="both"/>
      </w:pPr>
      <w:r>
        <w:rPr>
          <w:rFonts w:ascii="Arial" w:cs="Arial" w:eastAsia="Arial" w:hAnsi="Arial"/>
          <w:color w:val="1F2937"/>
          <w:sz w:val="24"/>
          <w:szCs w:val="24"/>
        </w:rPr>
        <w:t xml:space="preserve">A first-year MS student receives a C+ in his first graduate course — a shock after a strong undergraduate performance. He uses the CGPA Calculator to enter this result and then uses the Target GPA Planner to calculate what GPA he needs in his remaining 30 credit hours to graduate with a 3.0 CGPA. The answer — 3.15 — is achievable, and having this specific number transforms his response from panic into planning. He schedules additional office hours with his advisor, changes his study habits, and successfully completes the program.</w:t>
      </w:r>
    </w:p>
    <w:p>
      <w:pPr>
        <w:pStyle w:val="Heading2"/>
        <w:spacing w:after="120" w:before="240"/>
      </w:pPr>
      <w:r>
        <w:rPr>
          <w:rFonts w:ascii="Arial" w:cs="Arial" w:eastAsia="Arial" w:hAnsi="Arial"/>
          <w:b/>
          <w:bCs/>
        </w:rPr>
        <w:t xml:space="preserve">Scenario 3: Graduation Audit Preparation</w:t>
      </w:r>
    </w:p>
    <w:p>
      <w:pPr>
        <w:spacing w:after="160"/>
        <w:jc w:val="both"/>
      </w:pPr>
      <w:r>
        <w:rPr>
          <w:rFonts w:ascii="Arial" w:cs="Arial" w:eastAsia="Arial" w:hAnsi="Arial"/>
          <w:color w:val="1F2937"/>
          <w:sz w:val="24"/>
          <w:szCs w:val="24"/>
        </w:rPr>
        <w:t xml:space="preserve">A fourth-year BS student approaching her final semester suspects she may be close to meeting all graduation requirements but is not certain. Using the Credit Hour Progress Tracker, she inputs her completed credits by category and discovers that she is one elective mathematics course short of the requirement — a gap that would not be caught until her graduation audit if not addressed now. She registers for the missing course in her final semester and graduates on time.</w:t>
      </w:r>
    </w:p>
    <w:p>
      <w:pPr>
        <w:pStyle w:val="Heading2"/>
        <w:spacing w:after="120" w:before="240"/>
      </w:pPr>
      <w:r>
        <w:rPr>
          <w:rFonts w:ascii="Arial" w:cs="Arial" w:eastAsia="Arial" w:hAnsi="Arial"/>
          <w:b/>
          <w:bCs/>
        </w:rPr>
        <w:t xml:space="preserve">Scenario 4: International Student Orientation</w:t>
      </w:r>
    </w:p>
    <w:p>
      <w:pPr>
        <w:spacing w:after="160"/>
        <w:jc w:val="both"/>
      </w:pPr>
      <w:r>
        <w:rPr>
          <w:rFonts w:ascii="Arial" w:cs="Arial" w:eastAsia="Arial" w:hAnsi="Arial"/>
          <w:color w:val="1F2937"/>
          <w:sz w:val="24"/>
          <w:szCs w:val="24"/>
        </w:rPr>
        <w:t xml:space="preserve">A newly enrolled MS student from a country using a percentage-based grading system is unfamiliar with the 4.0 GPA scale. She uses the Grade Reference module to map her previous grades onto the US scale, understand the academic standing classifications, and compare her expected performance against the program's 3.0 minimum requirement. This orientation function — typically provided in a 30-minute advising session — is available to her at any time.</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10. Limitations and Future Directions</w:t>
      </w:r>
    </w:p>
    <w:p>
      <w:pPr>
        <w:pStyle w:val="Heading2"/>
        <w:spacing w:after="120" w:before="240"/>
      </w:pPr>
      <w:r>
        <w:rPr>
          <w:rFonts w:ascii="Arial" w:cs="Arial" w:eastAsia="Arial" w:hAnsi="Arial"/>
          <w:b/>
          <w:bCs/>
        </w:rPr>
        <w:t xml:space="preserve">10.1 Current Limitations</w:t>
      </w:r>
    </w:p>
    <w:p>
      <w:pPr>
        <w:spacing w:after="160"/>
        <w:jc w:val="both"/>
      </w:pPr>
      <w:r>
        <w:rPr>
          <w:rFonts w:ascii="Arial" w:cs="Arial" w:eastAsia="Arial" w:hAnsi="Arial"/>
          <w:color w:val="1F2937"/>
          <w:sz w:val="24"/>
          <w:szCs w:val="24"/>
        </w:rPr>
        <w:t xml:space="preserve">As with any tool, the calculator has limitations that users should be aware of:</w:t>
      </w:r>
    </w:p>
    <w:p>
      <w:pPr>
        <w:pStyle w:val="ListParagraph"/>
        <w:numPr>
          <w:ilvl w:val="0"/>
          <w:numId w:val="2"/>
        </w:numPr>
        <w:spacing w:after="80"/>
      </w:pPr>
      <w:r>
        <w:rPr>
          <w:rFonts w:ascii="Arial" w:cs="Arial" w:eastAsia="Arial" w:hAnsi="Arial"/>
          <w:color w:val="1F2937"/>
          <w:sz w:val="24"/>
          <w:szCs w:val="24"/>
        </w:rPr>
        <w:t xml:space="preserve">The tool uses general degree requirement templates (130 CH for BS, 36 CH for MS) that may differ from specific institutional requirements. Students should cross-reference with their institution's official degree audit.</w:t>
      </w:r>
    </w:p>
    <w:p>
      <w:pPr>
        <w:pStyle w:val="ListParagraph"/>
        <w:numPr>
          <w:ilvl w:val="0"/>
          <w:numId w:val="2"/>
        </w:numPr>
        <w:spacing w:after="80"/>
      </w:pPr>
      <w:r>
        <w:rPr>
          <w:rFonts w:ascii="Arial" w:cs="Arial" w:eastAsia="Arial" w:hAnsi="Arial"/>
          <w:color w:val="1F2937"/>
          <w:sz w:val="24"/>
          <w:szCs w:val="24"/>
        </w:rPr>
        <w:t xml:space="preserve">The grade point scale used (A+ = 4.0, A = 4.0, A- = 3.7, etc.) is the most common US standard but varies by institution. Some universities use different scales or do not award A+ grades.</w:t>
      </w:r>
    </w:p>
    <w:p>
      <w:pPr>
        <w:pStyle w:val="ListParagraph"/>
        <w:numPr>
          <w:ilvl w:val="0"/>
          <w:numId w:val="2"/>
        </w:numPr>
        <w:spacing w:after="80"/>
      </w:pPr>
      <w:r>
        <w:rPr>
          <w:rFonts w:ascii="Arial" w:cs="Arial" w:eastAsia="Arial" w:hAnsi="Arial"/>
          <w:color w:val="1F2937"/>
          <w:sz w:val="24"/>
          <w:szCs w:val="24"/>
        </w:rPr>
        <w:t xml:space="preserve">The tool does not account for minimum grade requirements in specific courses (e.g., a minimum C in certain core courses), pass/fail courses, or repeated course policies.</w:t>
      </w:r>
    </w:p>
    <w:p>
      <w:pPr>
        <w:pStyle w:val="ListParagraph"/>
        <w:numPr>
          <w:ilvl w:val="0"/>
          <w:numId w:val="2"/>
        </w:numPr>
        <w:spacing w:after="80"/>
      </w:pPr>
      <w:r>
        <w:rPr>
          <w:rFonts w:ascii="Arial" w:cs="Arial" w:eastAsia="Arial" w:hAnsi="Arial"/>
          <w:color w:val="1F2937"/>
          <w:sz w:val="24"/>
          <w:szCs w:val="24"/>
        </w:rPr>
        <w:t xml:space="preserve">Session data is not saved. Students must re-enter their information each time they use the tool, which may reduce regular engagement relative to a tool with persistent storage.</w:t>
      </w:r>
    </w:p>
    <w:p>
      <w:pPr>
        <w:pStyle w:val="ListParagraph"/>
        <w:numPr>
          <w:ilvl w:val="0"/>
          <w:numId w:val="2"/>
        </w:numPr>
        <w:spacing w:after="80"/>
      </w:pPr>
      <w:r>
        <w:rPr>
          <w:rFonts w:ascii="Arial" w:cs="Arial" w:eastAsia="Arial" w:hAnsi="Arial"/>
          <w:color w:val="1F2937"/>
          <w:sz w:val="24"/>
          <w:szCs w:val="24"/>
        </w:rPr>
        <w:t xml:space="preserve">The tool does not integrate with institutional systems, so data entry is manual. Students must accurately transcribe their grades and credit counts from official records.</w:t>
      </w:r>
    </w:p>
    <w:p>
      <w:pPr>
        <w:pStyle w:val="Heading2"/>
        <w:spacing w:after="120" w:before="240"/>
      </w:pPr>
      <w:r>
        <w:rPr>
          <w:rFonts w:ascii="Arial" w:cs="Arial" w:eastAsia="Arial" w:hAnsi="Arial"/>
          <w:b/>
          <w:bCs/>
        </w:rPr>
        <w:t xml:space="preserve">10.2 Future Development Directions</w:t>
      </w:r>
    </w:p>
    <w:p>
      <w:pPr>
        <w:spacing w:after="160"/>
        <w:jc w:val="both"/>
      </w:pPr>
      <w:r>
        <w:rPr>
          <w:rFonts w:ascii="Arial" w:cs="Arial" w:eastAsia="Arial" w:hAnsi="Arial"/>
          <w:color w:val="1F2937"/>
          <w:sz w:val="24"/>
          <w:szCs w:val="24"/>
        </w:rPr>
        <w:t xml:space="preserve">Several enhancements would expand the tool's educational value:</w:t>
      </w:r>
    </w:p>
    <w:p>
      <w:pPr>
        <w:pStyle w:val="ListParagraph"/>
        <w:numPr>
          <w:ilvl w:val="0"/>
          <w:numId w:val="3"/>
        </w:numPr>
        <w:spacing w:after="100"/>
      </w:pPr>
      <w:r>
        <w:rPr>
          <w:rFonts w:ascii="Arial" w:cs="Arial" w:eastAsia="Arial" w:hAnsi="Arial"/>
          <w:color w:val="1F2937"/>
          <w:sz w:val="24"/>
          <w:szCs w:val="24"/>
        </w:rPr>
        <w:t xml:space="preserve">Local storage persistence: Saving data in the browser's local storage (with clear user consent) would allow students to maintain a running record across sessions.</w:t>
      </w:r>
    </w:p>
    <w:p>
      <w:pPr>
        <w:pStyle w:val="ListParagraph"/>
        <w:numPr>
          <w:ilvl w:val="0"/>
          <w:numId w:val="3"/>
        </w:numPr>
        <w:spacing w:after="100"/>
      </w:pPr>
      <w:r>
        <w:rPr>
          <w:rFonts w:ascii="Arial" w:cs="Arial" w:eastAsia="Arial" w:hAnsi="Arial"/>
          <w:color w:val="1F2937"/>
          <w:sz w:val="24"/>
          <w:szCs w:val="24"/>
        </w:rPr>
        <w:t xml:space="preserve">Institutional customization: A configuration layer allowing departments to set their specific credit requirements, grade scale, and course categories would make the tool universally applicable.</w:t>
      </w:r>
    </w:p>
    <w:p>
      <w:pPr>
        <w:pStyle w:val="ListParagraph"/>
        <w:numPr>
          <w:ilvl w:val="0"/>
          <w:numId w:val="3"/>
        </w:numPr>
        <w:spacing w:after="100"/>
      </w:pPr>
      <w:r>
        <w:rPr>
          <w:rFonts w:ascii="Arial" w:cs="Arial" w:eastAsia="Arial" w:hAnsi="Arial"/>
          <w:color w:val="1F2937"/>
          <w:sz w:val="24"/>
          <w:szCs w:val="24"/>
        </w:rPr>
        <w:t xml:space="preserve">Trend visualization: Chart-based visualization of CGPA trajectory over time (e.g., a line chart of GPA per semester) would enhance the longitudinal planning function.</w:t>
      </w:r>
    </w:p>
    <w:p>
      <w:pPr>
        <w:pStyle w:val="ListParagraph"/>
        <w:numPr>
          <w:ilvl w:val="0"/>
          <w:numId w:val="3"/>
        </w:numPr>
        <w:spacing w:after="100"/>
      </w:pPr>
      <w:r>
        <w:rPr>
          <w:rFonts w:ascii="Arial" w:cs="Arial" w:eastAsia="Arial" w:hAnsi="Arial"/>
          <w:color w:val="1F2937"/>
          <w:sz w:val="24"/>
          <w:szCs w:val="24"/>
        </w:rPr>
        <w:t xml:space="preserve">Course recommendation integration: Linking credit gap analysis to a course catalog lookup would create a seamless path from identifying a requirement gap to registering for the course that fills it.</w:t>
      </w:r>
    </w:p>
    <w:p>
      <w:pPr>
        <w:pStyle w:val="ListParagraph"/>
        <w:numPr>
          <w:ilvl w:val="0"/>
          <w:numId w:val="3"/>
        </w:numPr>
        <w:spacing w:after="100"/>
      </w:pPr>
      <w:r>
        <w:rPr>
          <w:rFonts w:ascii="Arial" w:cs="Arial" w:eastAsia="Arial" w:hAnsi="Arial"/>
          <w:color w:val="1F2937"/>
          <w:sz w:val="24"/>
          <w:szCs w:val="24"/>
        </w:rPr>
        <w:t xml:space="preserve">Multilingual support: Adding translation support would increase accessibility for international student populations.</w:t>
      </w:r>
    </w:p>
    <w:p>
      <w:pPr>
        <w:spacing w:after="80"/>
      </w:pPr>
      <w:r>
        <w:t xml:space="preserve"/>
      </w:r>
    </w:p>
    <w:p>
      <w:pPr>
        <w:spacing w:after="0"/>
      </w:pPr>
      <w:r>
        <w:br w:type="page"/>
      </w:r>
    </w:p>
    <w:p>
      <w:pPr>
        <w:pStyle w:val="Heading1"/>
        <w:spacing w:after="180" w:before="360"/>
      </w:pPr>
      <w:r>
        <w:rPr>
          <w:rFonts w:ascii="Arial" w:cs="Arial" w:eastAsia="Arial" w:hAnsi="Arial"/>
          <w:b/>
          <w:bCs/>
        </w:rPr>
        <w:t xml:space="preserve">11. Conclusion</w:t>
      </w:r>
    </w:p>
    <w:p>
      <w:pPr>
        <w:spacing w:after="160"/>
        <w:jc w:val="both"/>
      </w:pPr>
      <w:r>
        <w:rPr>
          <w:rFonts w:ascii="Arial" w:cs="Arial" w:eastAsia="Arial" w:hAnsi="Arial"/>
          <w:color w:val="1F2937"/>
          <w:sz w:val="24"/>
          <w:szCs w:val="24"/>
        </w:rPr>
        <w:t xml:space="preserve">The BS/MS Mathematics Program Calculator represents a meaningful contribution to the landscape of educational self-management tools for mathematics students. By integrating semester GPA calculation, cumulative GPA planning, credit hour progress tracking, and grade reference information into a single, accessible, privacy-preserving web application, the tool directly addresses four of the most significant sources of academic planning burden faced by undergraduate and graduate mathematics students.</w:t>
      </w:r>
    </w:p>
    <w:p>
      <w:pPr>
        <w:spacing w:after="160"/>
        <w:jc w:val="both"/>
      </w:pPr>
      <w:r>
        <w:rPr>
          <w:rFonts w:ascii="Arial" w:cs="Arial" w:eastAsia="Arial" w:hAnsi="Arial"/>
          <w:color w:val="1F2937"/>
          <w:sz w:val="24"/>
          <w:szCs w:val="24"/>
        </w:rPr>
        <w:t xml:space="preserve">The evidence from educational research is clear: students who can easily and accurately monitor their academic standing, set specific performance goals, and plan their degree completion trajectory outperform those who cannot. The calculator operationalizes this evidence into a concrete, immediately usable tool that requires no institutional mediation, no technical expertise, and no personal data disclosure.</w:t>
      </w:r>
    </w:p>
    <w:p>
      <w:pPr>
        <w:spacing w:after="160"/>
        <w:jc w:val="both"/>
      </w:pPr>
      <w:r>
        <w:rPr>
          <w:rFonts w:ascii="Arial" w:cs="Arial" w:eastAsia="Arial" w:hAnsi="Arial"/>
          <w:color w:val="1F2937"/>
          <w:sz w:val="24"/>
          <w:szCs w:val="24"/>
        </w:rPr>
        <w:t xml:space="preserve">For BS students, the tool's greatest contributions are in democratizing access to academic planning intelligence across the four-year program, supporting recovery planning after difficult semesters, and ensuring credit requirement awareness before graduation audits. For MS students, the tool's most critical function is in managing the high-stakes, narrow-margin GPA requirements of graduate programs where a single poor semester can have program-ending consequences if not addressed proactively.</w:t>
      </w:r>
    </w:p>
    <w:p>
      <w:pPr>
        <w:spacing w:after="160"/>
        <w:jc w:val="both"/>
      </w:pPr>
      <w:r>
        <w:rPr>
          <w:rFonts w:ascii="Arial" w:cs="Arial" w:eastAsia="Arial" w:hAnsi="Arial"/>
          <w:color w:val="1F2937"/>
          <w:sz w:val="24"/>
          <w:szCs w:val="24"/>
        </w:rPr>
        <w:t xml:space="preserve">While the tool is not a substitute for qualified academic advising, it is a powerful complement to it — one that extends the reach of good academic planning practice to every student, at any time, at zero cost. In a domain as demanding as mathematics, where the gap between confusion and clarity can determine whether a talented student succeeds or struggles, tools that make critical information instantly accessible have genuine, measurable educational value.</w:t>
      </w:r>
    </w:p>
    <w:p>
      <w:pPr>
        <w:spacing w:after="80"/>
      </w:pPr>
      <w:r>
        <w:t xml:space="preserve"/>
      </w:r>
    </w:p>
    <w:p>
      <w:pPr>
        <w:pBdr>
          <w:bottom w:val="single" w:color="C9A227" w:sz="8" w:space="1"/>
        </w:pBdr>
        <w:spacing w:after="120"/>
      </w:pPr>
    </w:p>
    <w:p>
      <w:pPr>
        <w:spacing w:after="240" w:before="240"/>
        <w:jc w:val="center"/>
      </w:pPr>
      <w:r>
        <w:rPr>
          <w:rFonts w:ascii="Arial" w:cs="Arial" w:eastAsia="Arial" w:hAnsi="Arial"/>
          <w:color w:val="6B7280"/>
          <w:sz w:val="22"/>
          <w:szCs w:val="22"/>
        </w:rPr>
        <w:t xml:space="preserve">"Mathematics is not about numbers, equations, computations, or algorithms: it is about understanding." — William Paul Thurston</w:t>
      </w:r>
    </w:p>
    <w:p>
      <w:pPr>
        <w:pBdr>
          <w:bottom w:val="single" w:color="C9A227" w:sz="8" w:space="1"/>
        </w:pBdr>
        <w:spacing w:after="120"/>
      </w:pPr>
    </w:p>
    <w:p>
      <w:pPr>
        <w:spacing w:after="200"/>
      </w:pPr>
      <w:r>
        <w:t xml:space="preserve"/>
      </w:r>
    </w:p>
    <w:p>
      <w:pPr>
        <w:spacing w:after="0"/>
      </w:pPr>
      <w:r>
        <w:br w:type="page"/>
      </w:r>
    </w:p>
    <w:p>
      <w:pPr>
        <w:pStyle w:val="Heading1"/>
        <w:spacing w:after="180" w:before="360"/>
      </w:pPr>
      <w:r>
        <w:rPr>
          <w:rFonts w:ascii="Arial" w:cs="Arial" w:eastAsia="Arial" w:hAnsi="Arial"/>
          <w:b/>
          <w:bCs/>
        </w:rPr>
        <w:t xml:space="preserve">References</w:t>
      </w:r>
    </w:p>
    <w:p>
      <w:pPr>
        <w:spacing w:after="160"/>
        <w:jc w:val="both"/>
      </w:pPr>
      <w:r>
        <w:rPr>
          <w:rFonts w:ascii="Arial" w:cs="Arial" w:eastAsia="Arial" w:hAnsi="Arial"/>
          <w:color w:val="1F2937"/>
          <w:sz w:val="24"/>
          <w:szCs w:val="24"/>
        </w:rPr>
        <w:t xml:space="preserve">The following sources informed the research framework and theoretical grounding of this report:</w:t>
      </w:r>
    </w:p>
    <w:p>
      <w:pPr>
        <w:spacing w:after="80"/>
      </w:pPr>
      <w:r>
        <w:t xml:space="preserve"/>
      </w:r>
    </w:p>
    <w:p>
      <w:pPr>
        <w:spacing w:after="120"/>
        <w:ind w:left="720" w:hanging="720"/>
      </w:pPr>
      <w:r>
        <w:rPr>
          <w:rFonts w:ascii="Arial" w:cs="Arial" w:eastAsia="Arial" w:hAnsi="Arial"/>
          <w:color w:val="1F2937"/>
          <w:sz w:val="22"/>
          <w:szCs w:val="22"/>
        </w:rPr>
        <w:t xml:space="preserve">Ambrose, S. A., Bridges, M. W., DiPietro, M., Lovett, M. C., &amp; Norman, M. K. (2010). How Learning Works: Seven Research-Based Principles for Smart Teaching. Jossey-Bass.</w:t>
      </w:r>
    </w:p>
    <w:p>
      <w:pPr>
        <w:spacing w:after="120"/>
        <w:ind w:left="720" w:hanging="720"/>
      </w:pPr>
      <w:r>
        <w:rPr>
          <w:rFonts w:ascii="Arial" w:cs="Arial" w:eastAsia="Arial" w:hAnsi="Arial"/>
          <w:color w:val="1F2937"/>
          <w:sz w:val="22"/>
          <w:szCs w:val="22"/>
        </w:rPr>
        <w:t xml:space="preserve">Ames, C. (1992). Classrooms: Goals, structures, and student motivation. Journal of Educational Psychology, 84(3), 261-271.</w:t>
      </w:r>
    </w:p>
    <w:p>
      <w:pPr>
        <w:spacing w:after="120"/>
        <w:ind w:left="720" w:hanging="720"/>
      </w:pPr>
      <w:r>
        <w:rPr>
          <w:rFonts w:ascii="Arial" w:cs="Arial" w:eastAsia="Arial" w:hAnsi="Arial"/>
          <w:color w:val="1F2937"/>
          <w:sz w:val="22"/>
          <w:szCs w:val="22"/>
        </w:rPr>
        <w:t xml:space="preserve">Bandura, A. (1997). Self-efficacy: The exercise of control. W.H. Freeman.</w:t>
      </w:r>
    </w:p>
    <w:p>
      <w:pPr>
        <w:spacing w:after="120"/>
        <w:ind w:left="720" w:hanging="720"/>
      </w:pPr>
      <w:r>
        <w:rPr>
          <w:rFonts w:ascii="Arial" w:cs="Arial" w:eastAsia="Arial" w:hAnsi="Arial"/>
          <w:color w:val="1F2937"/>
          <w:sz w:val="22"/>
          <w:szCs w:val="22"/>
        </w:rPr>
        <w:t xml:space="preserve">Credé, M., &amp; Kuncel, N. R. (2008). Study habits, skills, and attitudes: The third pillar supporting collegiate academic performance. Perspectives on Psychological Science, 3(6), 425-453.</w:t>
      </w:r>
    </w:p>
    <w:p>
      <w:pPr>
        <w:spacing w:after="120"/>
        <w:ind w:left="720" w:hanging="720"/>
      </w:pPr>
      <w:r>
        <w:rPr>
          <w:rFonts w:ascii="Arial" w:cs="Arial" w:eastAsia="Arial" w:hAnsi="Arial"/>
          <w:color w:val="1F2937"/>
          <w:sz w:val="22"/>
          <w:szCs w:val="22"/>
        </w:rPr>
        <w:t xml:space="preserve">Dweck, C. S. (2006). Mindset: The new psychology of success. Random House.</w:t>
      </w:r>
    </w:p>
    <w:p>
      <w:pPr>
        <w:spacing w:after="120"/>
        <w:ind w:left="720" w:hanging="720"/>
      </w:pPr>
      <w:r>
        <w:rPr>
          <w:rFonts w:ascii="Arial" w:cs="Arial" w:eastAsia="Arial" w:hAnsi="Arial"/>
          <w:color w:val="1F2937"/>
          <w:sz w:val="22"/>
          <w:szCs w:val="22"/>
        </w:rPr>
        <w:t xml:space="preserve">Hattie, J. (2009). Visible Learning: A synthesis of over 800 meta-analyses relating to achievement. Routledge.</w:t>
      </w:r>
    </w:p>
    <w:p>
      <w:pPr>
        <w:spacing w:after="120"/>
        <w:ind w:left="720" w:hanging="720"/>
      </w:pPr>
      <w:r>
        <w:rPr>
          <w:rFonts w:ascii="Arial" w:cs="Arial" w:eastAsia="Arial" w:hAnsi="Arial"/>
          <w:color w:val="1F2937"/>
          <w:sz w:val="22"/>
          <w:szCs w:val="22"/>
        </w:rPr>
        <w:t xml:space="preserve">Locke, E. A., &amp; Latham, G. P. (2002). Building a practically useful theory of goal setting and task motivation. American Psychologist, 57(9), 705-717.</w:t>
      </w:r>
    </w:p>
    <w:p>
      <w:pPr>
        <w:spacing w:after="120"/>
        <w:ind w:left="720" w:hanging="720"/>
      </w:pPr>
      <w:r>
        <w:rPr>
          <w:rFonts w:ascii="Arial" w:cs="Arial" w:eastAsia="Arial" w:hAnsi="Arial"/>
          <w:color w:val="1F2937"/>
          <w:sz w:val="22"/>
          <w:szCs w:val="22"/>
        </w:rPr>
        <w:t xml:space="preserve">Pintrich, P. R. (2000). The role of goal orientation in self-regulated learning. In M. Boekaerts, P. Pintrich, &amp; M. Zeidner (Eds.), Handbook of Self-Regulation. Academic Press.</w:t>
      </w:r>
    </w:p>
    <w:p>
      <w:pPr>
        <w:spacing w:after="120"/>
        <w:ind w:left="720" w:hanging="720"/>
      </w:pPr>
      <w:r>
        <w:rPr>
          <w:rFonts w:ascii="Arial" w:cs="Arial" w:eastAsia="Arial" w:hAnsi="Arial"/>
          <w:color w:val="1F2937"/>
          <w:sz w:val="22"/>
          <w:szCs w:val="22"/>
        </w:rPr>
        <w:t xml:space="preserve">Schunk, D. H., &amp; Zimmerman, B. J. (2008). Motivation and Self-Regulated Learning: Theory, Research, and Applications. Lawrence Erlbaum.</w:t>
      </w:r>
    </w:p>
    <w:p>
      <w:pPr>
        <w:spacing w:after="120"/>
        <w:ind w:left="720" w:hanging="720"/>
      </w:pPr>
      <w:r>
        <w:rPr>
          <w:rFonts w:ascii="Arial" w:cs="Arial" w:eastAsia="Arial" w:hAnsi="Arial"/>
          <w:color w:val="1F2937"/>
          <w:sz w:val="22"/>
          <w:szCs w:val="22"/>
        </w:rPr>
        <w:t xml:space="preserve">Sweller, J. (1988). Cognitive load during problem solving: Effects on learning. Cognitive Science, 12(2), 257-285.</w:t>
      </w:r>
    </w:p>
    <w:p>
      <w:pPr>
        <w:spacing w:after="120"/>
        <w:ind w:left="720" w:hanging="720"/>
      </w:pPr>
      <w:r>
        <w:rPr>
          <w:rFonts w:ascii="Arial" w:cs="Arial" w:eastAsia="Arial" w:hAnsi="Arial"/>
          <w:color w:val="1F2937"/>
          <w:sz w:val="22"/>
          <w:szCs w:val="22"/>
        </w:rPr>
        <w:t xml:space="preserve">Zimmerman, B. J. (2002). Becoming a self-regulated learner: An overview. Theory Into Practice, 41(2), 64-70.</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0"/>
    </w:pPr>
    <w:r>
      <w:rPr>
        <w:rFonts w:ascii="Arial" w:cs="Arial" w:eastAsia="Arial" w:hAnsi="Arial"/>
        <w:color w:val="6B7280"/>
        <w:sz w:val="18"/>
        <w:szCs w:val="18"/>
      </w:rPr>
      <w:t xml:space="preserve">Department of Mathematics  |  Academic Tools Research</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026"/>
      </w:tabs>
      <w:spacing w:after="0"/>
    </w:pPr>
    <w:r>
      <w:rPr>
        <w:rFonts w:ascii="Arial" w:cs="Arial" w:eastAsia="Arial" w:hAnsi="Arial"/>
        <w:color w:val="6B7280"/>
        <w:sz w:val="18"/>
        <w:szCs w:val="18"/>
      </w:rPr>
      <w:t xml:space="preserve">BS/MS Mathematics Program Calculator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200" w:before="400"/>
      <w:outlineLvl w:val="0"/>
    </w:pPr>
    <w:rPr>
      <w:rFonts w:ascii="Arial" w:cs="Arial" w:eastAsia="Arial" w:hAnsi="Arial"/>
      <w:b/>
      <w:bCs/>
      <w:color w:val="0A0F1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74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Report: BS/MS Mathematics Program Calculator</dc:title>
  <dc:creator>Mathematics Department</dc:creator>
  <dc:description>How the web-based GPA calculator supports mathematics students</dc:description>
  <cp:lastModifiedBy>Un-named</cp:lastModifiedBy>
  <cp:revision>1</cp:revision>
  <dcterms:created xsi:type="dcterms:W3CDTF">2026-05-20T04:20:44.878Z</dcterms:created>
  <dcterms:modified xsi:type="dcterms:W3CDTF">2026-05-20T04:20:44.878Z</dcterms:modified>
</cp:coreProperties>
</file>

<file path=docProps/custom.xml><?xml version="1.0" encoding="utf-8"?>
<Properties xmlns="http://schemas.openxmlformats.org/officeDocument/2006/custom-properties" xmlns:vt="http://schemas.openxmlformats.org/officeDocument/2006/docPropsVTypes"/>
</file>