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6588" w:rsidRDefault="00FD7E62" w:rsidP="00FD7E62">
      <w:pPr>
        <w:jc w:val="center"/>
        <w:rPr>
          <w:rFonts w:ascii="Arial" w:hAnsi="Arial" w:cs="Arial"/>
          <w:b/>
          <w:sz w:val="48"/>
        </w:rPr>
      </w:pPr>
      <w:r>
        <w:rPr>
          <w:rFonts w:ascii="Arial" w:hAnsi="Arial" w:cs="Arial"/>
          <w:b/>
          <w:sz w:val="48"/>
        </w:rPr>
        <w:t>PROJECT SUBMISSION REPORT</w:t>
      </w:r>
    </w:p>
    <w:p w:rsidR="00FD7E62" w:rsidRDefault="00FD7E62" w:rsidP="00FD7E62">
      <w:pPr>
        <w:jc w:val="center"/>
        <w:rPr>
          <w:rFonts w:ascii="Arial" w:hAnsi="Arial" w:cs="Arial"/>
          <w:color w:val="555555"/>
          <w:sz w:val="28"/>
        </w:rPr>
      </w:pPr>
      <w:r>
        <w:rPr>
          <w:rFonts w:ascii="Arial" w:hAnsi="Arial" w:cs="Arial"/>
          <w:color w:val="555555"/>
          <w:sz w:val="28"/>
        </w:rPr>
        <w:t>Production-Ready DevOps Pipeline for AI Microservice</w:t>
      </w:r>
    </w:p>
    <w:p w:rsidR="00FD7E62" w:rsidRDefault="00FD7E62" w:rsidP="00FD7E62">
      <w:pPr>
        <w:jc w:val="center"/>
        <w:rPr>
          <w:rFonts w:ascii="Arial" w:hAnsi="Arial" w:cs="Arial"/>
          <w:color w:val="555555"/>
          <w:sz w:val="28"/>
        </w:rPr>
      </w:pPr>
    </w:p>
    <w:p w:rsidR="00FD7E62" w:rsidRDefault="00FD7E62" w:rsidP="00FD7E62">
      <w:pPr>
        <w:rPr>
          <w:rFonts w:ascii="Arial" w:hAnsi="Arial" w:cs="Arial"/>
          <w:b/>
          <w:color w:val="000000"/>
          <w:sz w:val="32"/>
        </w:rPr>
      </w:pPr>
      <w:r>
        <w:rPr>
          <w:rFonts w:ascii="Arial" w:hAnsi="Arial" w:cs="Arial"/>
          <w:b/>
          <w:color w:val="000000"/>
          <w:sz w:val="32"/>
        </w:rPr>
        <w:t>1. Project Metadata &amp; Code Layout</w:t>
      </w:r>
    </w:p>
    <w:p w:rsidR="00FD7E62" w:rsidRDefault="00FD7E62" w:rsidP="00FD7E62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GitHub Repository URL: https://github.com/bhumikasharna020/ai-microservice</w:t>
      </w:r>
    </w:p>
    <w:p w:rsidR="00FD7E62" w:rsidRDefault="00FD7E62" w:rsidP="00FD7E62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AWS EKS Cluster Name: ai-microservice-eks</w:t>
      </w:r>
    </w:p>
    <w:p w:rsidR="00FD7E62" w:rsidRDefault="00FD7E62" w:rsidP="00FD7E62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Kubernetes Namespace: ai-microservice</w:t>
      </w:r>
    </w:p>
    <w:p w:rsidR="00FD7E62" w:rsidRDefault="00FD7E62" w:rsidP="00FD7E62">
      <w:pPr>
        <w:rPr>
          <w:rFonts w:ascii="Calibri" w:hAnsi="Calibri" w:cs="Calibri"/>
          <w:color w:val="000000"/>
        </w:rPr>
      </w:pPr>
    </w:p>
    <w:p w:rsidR="00FD7E62" w:rsidRDefault="00FD7E62" w:rsidP="00FD7E62">
      <w:pPr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  <w:lang w:eastAsia="en-IN"/>
        </w:rPr>
        <w:drawing>
          <wp:inline distT="0" distB="0" distL="0" distR="0">
            <wp:extent cx="5731510" cy="3044825"/>
            <wp:effectExtent l="0" t="0" r="2540" b="317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E62" w:rsidRDefault="00FD7E62" w:rsidP="00FD7E62">
      <w:pPr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i/>
          <w:color w:val="000000"/>
          <w:sz w:val="18"/>
        </w:rPr>
        <w:t>Figure 1.1: GitHub Repository Files &amp; Directory Layout</w:t>
      </w:r>
    </w:p>
    <w:p w:rsidR="00FD7E62" w:rsidRDefault="00FD7E62" w:rsidP="00FD7E62">
      <w:pPr>
        <w:rPr>
          <w:rFonts w:ascii="Calibri" w:hAnsi="Calibri" w:cs="Calibri"/>
          <w:color w:val="000000"/>
        </w:rPr>
      </w:pPr>
    </w:p>
    <w:p w:rsidR="00FD7E62" w:rsidRDefault="00FD7E62" w:rsidP="00FD7E62">
      <w:pPr>
        <w:rPr>
          <w:rFonts w:ascii="Arial" w:hAnsi="Arial" w:cs="Arial"/>
          <w:b/>
          <w:color w:val="000000"/>
          <w:sz w:val="32"/>
        </w:rPr>
      </w:pPr>
      <w:r>
        <w:rPr>
          <w:rFonts w:ascii="Arial" w:hAnsi="Arial" w:cs="Arial"/>
          <w:b/>
          <w:color w:val="000000"/>
          <w:sz w:val="32"/>
        </w:rPr>
        <w:t>2. Local Setup &amp; Docker Containerization</w:t>
      </w:r>
    </w:p>
    <w:p w:rsidR="00FD7E62" w:rsidRDefault="00FD7E62" w:rsidP="00FD7E62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We configured a multi-stage Docker build running under a non-root user (appuser UID 1000) for security hardening. The application and database run successfully locally.</w:t>
      </w:r>
    </w:p>
    <w:p w:rsidR="00FD7E62" w:rsidRDefault="00FD7E62" w:rsidP="00FD7E62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t>2.1 Docker Compose Local Startup</w:t>
      </w:r>
    </w:p>
    <w:p w:rsidR="00FD7E62" w:rsidRDefault="00FD7E62" w:rsidP="00FD7E62">
      <w:pPr>
        <w:rPr>
          <w:rFonts w:ascii="Arial" w:hAnsi="Arial" w:cs="Arial"/>
          <w:b/>
          <w:color w:val="000000"/>
          <w:sz w:val="24"/>
        </w:rPr>
      </w:pPr>
    </w:p>
    <w:p w:rsidR="00FD7E62" w:rsidRDefault="00FD7E62" w:rsidP="00FD7E62">
      <w:pPr>
        <w:jc w:val="center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noProof/>
          <w:color w:val="000000"/>
          <w:sz w:val="24"/>
          <w:lang w:eastAsia="en-IN"/>
        </w:rPr>
        <w:drawing>
          <wp:inline distT="0" distB="0" distL="0" distR="0">
            <wp:extent cx="5731510" cy="3044825"/>
            <wp:effectExtent l="0" t="0" r="2540" b="3175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E62" w:rsidRDefault="00FD7E62" w:rsidP="00FD7E62">
      <w:pPr>
        <w:jc w:val="center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i/>
          <w:color w:val="000000"/>
          <w:sz w:val="18"/>
        </w:rPr>
        <w:t>Figure 2.1: Docker Compose Local Startup Logs</w:t>
      </w:r>
    </w:p>
    <w:p w:rsidR="00FD7E62" w:rsidRDefault="00FD7E62" w:rsidP="00FD7E62">
      <w:pPr>
        <w:rPr>
          <w:rFonts w:ascii="Calibri" w:hAnsi="Calibri" w:cs="Calibri"/>
          <w:b/>
          <w:color w:val="000000"/>
        </w:rPr>
      </w:pPr>
    </w:p>
    <w:p w:rsidR="00FD7E62" w:rsidRDefault="00FD7E62" w:rsidP="00FD7E62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t>2.2 Swagger API Documentation UI</w:t>
      </w:r>
    </w:p>
    <w:p w:rsidR="00FD7E62" w:rsidRDefault="00FD7E62" w:rsidP="00FD7E62">
      <w:pPr>
        <w:rPr>
          <w:rFonts w:ascii="Arial" w:hAnsi="Arial" w:cs="Arial"/>
          <w:b/>
          <w:color w:val="000000"/>
          <w:sz w:val="24"/>
        </w:rPr>
      </w:pPr>
    </w:p>
    <w:p w:rsidR="00FD7E62" w:rsidRDefault="00FD7E62" w:rsidP="00FD7E62">
      <w:pPr>
        <w:jc w:val="center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noProof/>
          <w:color w:val="000000"/>
          <w:sz w:val="24"/>
          <w:lang w:eastAsia="en-IN"/>
        </w:rPr>
        <w:drawing>
          <wp:inline distT="0" distB="0" distL="0" distR="0">
            <wp:extent cx="5731510" cy="3081020"/>
            <wp:effectExtent l="0" t="0" r="2540" b="508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E62" w:rsidRDefault="00FD7E62" w:rsidP="00FD7E62">
      <w:pPr>
        <w:jc w:val="center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i/>
          <w:color w:val="000000"/>
          <w:sz w:val="18"/>
        </w:rPr>
        <w:t>Figure 2.2: FastAPI Swagger Documentation Panel</w:t>
      </w:r>
    </w:p>
    <w:p w:rsidR="00FD7E62" w:rsidRDefault="00FD7E62" w:rsidP="00FD7E62">
      <w:pPr>
        <w:rPr>
          <w:rFonts w:ascii="Calibri" w:hAnsi="Calibri" w:cs="Calibri"/>
          <w:b/>
          <w:color w:val="000000"/>
        </w:rPr>
      </w:pPr>
    </w:p>
    <w:p w:rsidR="00FD7E62" w:rsidRDefault="00FD7E62" w:rsidP="00FD7E62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t>2.3 PostgreSQL Database Storage Verification</w:t>
      </w:r>
    </w:p>
    <w:p w:rsidR="00FD7E62" w:rsidRDefault="00FD7E62" w:rsidP="00FD7E62">
      <w:pPr>
        <w:rPr>
          <w:rFonts w:ascii="Arial" w:hAnsi="Arial" w:cs="Arial"/>
          <w:b/>
          <w:color w:val="000000"/>
          <w:sz w:val="24"/>
        </w:rPr>
      </w:pPr>
    </w:p>
    <w:p w:rsidR="00FD7E62" w:rsidRDefault="00FD7E62" w:rsidP="00FD7E62">
      <w:pPr>
        <w:jc w:val="center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noProof/>
          <w:color w:val="000000"/>
          <w:sz w:val="24"/>
          <w:lang w:eastAsia="en-IN"/>
        </w:rPr>
        <w:drawing>
          <wp:inline distT="0" distB="0" distL="0" distR="0">
            <wp:extent cx="5731510" cy="3044825"/>
            <wp:effectExtent l="0" t="0" r="2540" b="3175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E62" w:rsidRDefault="00FD7E62" w:rsidP="00FD7E62">
      <w:pPr>
        <w:jc w:val="center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i/>
          <w:color w:val="000000"/>
          <w:sz w:val="18"/>
        </w:rPr>
        <w:t>Figure 2.3: Adminer predictions Database Table Output showing saved text</w:t>
      </w:r>
    </w:p>
    <w:p w:rsidR="00FD7E62" w:rsidRDefault="00FD7E62" w:rsidP="00FD7E62">
      <w:pPr>
        <w:rPr>
          <w:rFonts w:ascii="Calibri" w:hAnsi="Calibri" w:cs="Calibri"/>
          <w:b/>
          <w:color w:val="000000"/>
        </w:rPr>
      </w:pPr>
    </w:p>
    <w:p w:rsidR="00FD7E62" w:rsidRDefault="00FD7E62" w:rsidP="00FD7E62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t>2.4 Docker Hub Registry Push Verification</w:t>
      </w:r>
    </w:p>
    <w:p w:rsidR="00FD7E62" w:rsidRDefault="00FD7E62" w:rsidP="00FD7E62">
      <w:pPr>
        <w:rPr>
          <w:rFonts w:ascii="Arial" w:hAnsi="Arial" w:cs="Arial"/>
          <w:b/>
          <w:color w:val="000000"/>
          <w:sz w:val="24"/>
        </w:rPr>
      </w:pPr>
    </w:p>
    <w:p w:rsidR="00FD7E62" w:rsidRDefault="00FD7E62" w:rsidP="00FD7E62">
      <w:pPr>
        <w:jc w:val="center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noProof/>
          <w:color w:val="000000"/>
          <w:sz w:val="24"/>
          <w:lang w:eastAsia="en-IN"/>
        </w:rPr>
        <w:drawing>
          <wp:inline distT="0" distB="0" distL="0" distR="0">
            <wp:extent cx="5563082" cy="4290432"/>
            <wp:effectExtent l="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E62" w:rsidRDefault="00FD7E62" w:rsidP="00FD7E62">
      <w:pPr>
        <w:jc w:val="center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i/>
          <w:color w:val="000000"/>
          <w:sz w:val="18"/>
        </w:rPr>
        <w:t>Figure 2.4: Pushed Image confirmation tags on Docker Hub Registry</w:t>
      </w:r>
    </w:p>
    <w:p w:rsidR="00FD7E62" w:rsidRDefault="00FD7E62" w:rsidP="00FD7E62">
      <w:pPr>
        <w:rPr>
          <w:rFonts w:ascii="Calibri" w:hAnsi="Calibri" w:cs="Calibri"/>
          <w:b/>
          <w:color w:val="000000"/>
        </w:rPr>
      </w:pPr>
    </w:p>
    <w:p w:rsidR="00FD7E62" w:rsidRDefault="00FD7E62" w:rsidP="00FD7E62">
      <w:pPr>
        <w:rPr>
          <w:rFonts w:ascii="Arial" w:hAnsi="Arial" w:cs="Arial"/>
          <w:b/>
          <w:color w:val="000000"/>
          <w:sz w:val="32"/>
        </w:rPr>
      </w:pPr>
      <w:r>
        <w:rPr>
          <w:rFonts w:ascii="Arial" w:hAnsi="Arial" w:cs="Arial"/>
          <w:b/>
          <w:color w:val="000000"/>
          <w:sz w:val="32"/>
        </w:rPr>
        <w:t>3. Cloud Infrastructure &amp; AWS EKS Provisioning</w:t>
      </w:r>
    </w:p>
    <w:p w:rsidR="00FD7E62" w:rsidRDefault="00FD7E62" w:rsidP="00FD7E62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Automated cloud provisioning scripts deploy VPC, public/private subnets, NAT Gateway, EKS Cluster, and EC2 node groups.</w:t>
      </w:r>
    </w:p>
    <w:p w:rsidR="00FD7E62" w:rsidRDefault="00FD7E62" w:rsidP="00FD7E62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t>3.1 AWS EKS Cluster Active Status</w:t>
      </w:r>
    </w:p>
    <w:p w:rsidR="00FD7E62" w:rsidRDefault="00FD7E62" w:rsidP="00FD7E62">
      <w:pPr>
        <w:rPr>
          <w:rFonts w:ascii="Arial" w:hAnsi="Arial" w:cs="Arial"/>
          <w:b/>
          <w:color w:val="000000"/>
          <w:sz w:val="24"/>
        </w:rPr>
      </w:pPr>
    </w:p>
    <w:p w:rsidR="00FD7E62" w:rsidRDefault="00FD7E62" w:rsidP="00FD7E62">
      <w:pPr>
        <w:jc w:val="center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noProof/>
          <w:color w:val="000000"/>
          <w:sz w:val="24"/>
          <w:lang w:eastAsia="en-IN"/>
        </w:rPr>
        <w:drawing>
          <wp:inline distT="0" distB="0" distL="0" distR="0">
            <wp:extent cx="5731510" cy="3044825"/>
            <wp:effectExtent l="0" t="0" r="2540" b="3175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E62" w:rsidRDefault="00FD7E62" w:rsidP="00FD7E62">
      <w:pPr>
        <w:jc w:val="center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i/>
          <w:color w:val="000000"/>
          <w:sz w:val="18"/>
        </w:rPr>
        <w:t>Figure 3.1: AWS Console active EKS Cluster Status</w:t>
      </w:r>
    </w:p>
    <w:p w:rsidR="00FD7E62" w:rsidRDefault="00FD7E62" w:rsidP="00FD7E62">
      <w:pPr>
        <w:rPr>
          <w:rFonts w:ascii="Calibri" w:hAnsi="Calibri" w:cs="Calibri"/>
          <w:b/>
          <w:color w:val="000000"/>
        </w:rPr>
      </w:pPr>
    </w:p>
    <w:p w:rsidR="00FD7E62" w:rsidRDefault="00FD7E62" w:rsidP="00FD7E62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t>3.2 AWS EKS Cluster Overview Details</w:t>
      </w:r>
    </w:p>
    <w:p w:rsidR="00FD7E62" w:rsidRDefault="00FD7E62" w:rsidP="00FD7E62">
      <w:pPr>
        <w:rPr>
          <w:rFonts w:ascii="Arial" w:hAnsi="Arial" w:cs="Arial"/>
          <w:b/>
          <w:color w:val="000000"/>
          <w:sz w:val="24"/>
        </w:rPr>
      </w:pPr>
    </w:p>
    <w:p w:rsidR="00FD7E62" w:rsidRDefault="00FD7E62" w:rsidP="00FD7E62">
      <w:pPr>
        <w:jc w:val="center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noProof/>
          <w:color w:val="000000"/>
          <w:sz w:val="24"/>
          <w:lang w:eastAsia="en-IN"/>
        </w:rPr>
        <w:drawing>
          <wp:inline distT="0" distB="0" distL="0" distR="0">
            <wp:extent cx="5731510" cy="3122930"/>
            <wp:effectExtent l="0" t="0" r="2540" b="127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E62" w:rsidRDefault="00FD7E62" w:rsidP="00FD7E62">
      <w:pPr>
        <w:jc w:val="center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i/>
          <w:color w:val="000000"/>
          <w:sz w:val="18"/>
        </w:rPr>
        <w:t>Figure 3.2: EKS details with Endpoint and OpenID Connect URLs</w:t>
      </w:r>
    </w:p>
    <w:p w:rsidR="00FD7E62" w:rsidRDefault="00FD7E62" w:rsidP="00FD7E62">
      <w:pPr>
        <w:rPr>
          <w:rFonts w:ascii="Calibri" w:hAnsi="Calibri" w:cs="Calibri"/>
          <w:b/>
          <w:color w:val="000000"/>
        </w:rPr>
      </w:pPr>
    </w:p>
    <w:p w:rsidR="00FD7E62" w:rsidRDefault="00FD7E62" w:rsidP="00FD7E62">
      <w:pPr>
        <w:rPr>
          <w:rFonts w:ascii="Arial" w:hAnsi="Arial" w:cs="Arial"/>
          <w:b/>
          <w:color w:val="000000"/>
          <w:sz w:val="32"/>
        </w:rPr>
      </w:pPr>
      <w:r>
        <w:rPr>
          <w:rFonts w:ascii="Arial" w:hAnsi="Arial" w:cs="Arial"/>
          <w:b/>
          <w:color w:val="000000"/>
          <w:sz w:val="32"/>
        </w:rPr>
        <w:t>4. CI/CD Pipeline &amp; Vulnerability Scan</w:t>
      </w:r>
    </w:p>
    <w:p w:rsidR="00FD7E62" w:rsidRDefault="00FD7E62" w:rsidP="00FD7E62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Our pipeline validates code quality using Ruff linter, runs pytest coverage, scans container with Trivy, and pushes the package to GHCR.</w:t>
      </w:r>
    </w:p>
    <w:p w:rsidR="00FD7E62" w:rsidRDefault="00FD7E62" w:rsidP="00FD7E62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t>4.1 GitHub Actions Green CI Logs</w:t>
      </w:r>
    </w:p>
    <w:p w:rsidR="00FD7E62" w:rsidRDefault="00FD7E62" w:rsidP="00FD7E62">
      <w:pPr>
        <w:rPr>
          <w:rFonts w:ascii="Arial" w:hAnsi="Arial" w:cs="Arial"/>
          <w:b/>
          <w:color w:val="000000"/>
          <w:sz w:val="24"/>
        </w:rPr>
      </w:pPr>
    </w:p>
    <w:p w:rsidR="00FD7E62" w:rsidRDefault="00FD7E62" w:rsidP="00FD7E62">
      <w:pPr>
        <w:jc w:val="center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noProof/>
          <w:color w:val="000000"/>
          <w:sz w:val="24"/>
          <w:lang w:eastAsia="en-IN"/>
        </w:rPr>
        <w:drawing>
          <wp:inline distT="0" distB="0" distL="0" distR="0">
            <wp:extent cx="5731510" cy="3556000"/>
            <wp:effectExtent l="0" t="0" r="2540" b="635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E62" w:rsidRDefault="00FD7E62" w:rsidP="00FD7E62">
      <w:pPr>
        <w:jc w:val="center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i/>
          <w:color w:val="000000"/>
          <w:sz w:val="18"/>
        </w:rPr>
        <w:t>Figure 4.1: Succeeded GitHub Actions CI Pipeline job logs</w:t>
      </w:r>
    </w:p>
    <w:p w:rsidR="00FD7E62" w:rsidRDefault="00FD7E62" w:rsidP="00FD7E62">
      <w:pPr>
        <w:rPr>
          <w:rFonts w:ascii="Calibri" w:hAnsi="Calibri" w:cs="Calibri"/>
          <w:b/>
          <w:color w:val="000000"/>
        </w:rPr>
      </w:pPr>
    </w:p>
    <w:p w:rsidR="00FD7E62" w:rsidRDefault="00FD7E62" w:rsidP="00FD7E62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t>4.2 Trivy Container Vulnerability Scan Logs</w:t>
      </w:r>
    </w:p>
    <w:p w:rsidR="00FD7E62" w:rsidRDefault="00FD7E62" w:rsidP="00FD7E62">
      <w:pPr>
        <w:rPr>
          <w:rFonts w:ascii="Arial" w:hAnsi="Arial" w:cs="Arial"/>
          <w:b/>
          <w:color w:val="000000"/>
          <w:sz w:val="24"/>
        </w:rPr>
      </w:pPr>
    </w:p>
    <w:p w:rsidR="00FD7E62" w:rsidRDefault="00FD7E62" w:rsidP="00FD7E62">
      <w:pPr>
        <w:jc w:val="center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noProof/>
          <w:color w:val="000000"/>
          <w:sz w:val="24"/>
          <w:lang w:eastAsia="en-IN"/>
        </w:rPr>
        <w:drawing>
          <wp:inline distT="0" distB="0" distL="0" distR="0">
            <wp:extent cx="5731510" cy="3805555"/>
            <wp:effectExtent l="0" t="0" r="2540" b="4445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E62" w:rsidRDefault="00FD7E62" w:rsidP="00FD7E62">
      <w:pPr>
        <w:jc w:val="center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i/>
          <w:color w:val="000000"/>
          <w:sz w:val="18"/>
        </w:rPr>
        <w:t>Figure 4.2: Trivy vulnerability report output showing 0 vulnerabilities</w:t>
      </w:r>
    </w:p>
    <w:p w:rsidR="00FD7E62" w:rsidRDefault="00FD7E62" w:rsidP="00FD7E62">
      <w:pPr>
        <w:rPr>
          <w:rFonts w:ascii="Calibri" w:hAnsi="Calibri" w:cs="Calibri"/>
          <w:b/>
          <w:color w:val="000000"/>
        </w:rPr>
      </w:pPr>
    </w:p>
    <w:p w:rsidR="00FD7E62" w:rsidRDefault="00FD7E62" w:rsidP="00FD7E62">
      <w:pPr>
        <w:rPr>
          <w:rFonts w:ascii="Arial" w:hAnsi="Arial" w:cs="Arial"/>
          <w:b/>
          <w:color w:val="000000"/>
          <w:sz w:val="32"/>
        </w:rPr>
      </w:pPr>
      <w:r>
        <w:rPr>
          <w:rFonts w:ascii="Arial" w:hAnsi="Arial" w:cs="Arial"/>
          <w:b/>
          <w:color w:val="000000"/>
          <w:sz w:val="32"/>
        </w:rPr>
        <w:t>5. Kubernetes Security &amp; Hardening Manifests</w:t>
      </w:r>
    </w:p>
    <w:p w:rsidR="00FD7E62" w:rsidRDefault="00FD7E62" w:rsidP="00FD7E62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We configured strict memory/CPU resource constraints, container probes, RBAC roles, and Network Policies.</w:t>
      </w:r>
    </w:p>
    <w:p w:rsidR="00FD7E62" w:rsidRDefault="00FD7E62" w:rsidP="00FD7E62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t>5.1 RBAC ServiceAccount &amp; Role Definition</w:t>
      </w:r>
    </w:p>
    <w:p w:rsidR="00FD7E62" w:rsidRDefault="00FD7E62" w:rsidP="00FD7E62">
      <w:pPr>
        <w:rPr>
          <w:rFonts w:ascii="Arial" w:hAnsi="Arial" w:cs="Arial"/>
          <w:b/>
          <w:color w:val="000000"/>
          <w:sz w:val="24"/>
        </w:rPr>
      </w:pPr>
    </w:p>
    <w:p w:rsidR="00FD7E62" w:rsidRDefault="00FD7E62" w:rsidP="00FD7E62">
      <w:pPr>
        <w:jc w:val="center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noProof/>
          <w:color w:val="000000"/>
          <w:sz w:val="24"/>
          <w:lang w:eastAsia="en-IN"/>
        </w:rPr>
        <w:drawing>
          <wp:inline distT="0" distB="0" distL="0" distR="0">
            <wp:extent cx="5731510" cy="3044825"/>
            <wp:effectExtent l="0" t="0" r="2540" b="3175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E62" w:rsidRDefault="00FD7E62" w:rsidP="00FD7E62">
      <w:pPr>
        <w:jc w:val="center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i/>
          <w:color w:val="000000"/>
          <w:sz w:val="18"/>
        </w:rPr>
        <w:t>Figure 5.1: ServiceAccount and Roles configurations</w:t>
      </w:r>
    </w:p>
    <w:p w:rsidR="00FD7E62" w:rsidRDefault="00FD7E62" w:rsidP="00FD7E62">
      <w:pPr>
        <w:rPr>
          <w:rFonts w:ascii="Calibri" w:hAnsi="Calibri" w:cs="Calibri"/>
          <w:b/>
          <w:color w:val="000000"/>
        </w:rPr>
      </w:pPr>
    </w:p>
    <w:p w:rsidR="00FD7E62" w:rsidRDefault="00FD7E62" w:rsidP="00FD7E62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t>5.2 Resource Limits &amp; Health Probes</w:t>
      </w:r>
    </w:p>
    <w:p w:rsidR="00FD7E62" w:rsidRDefault="00FD7E62" w:rsidP="00FD7E62">
      <w:pPr>
        <w:rPr>
          <w:rFonts w:ascii="Arial" w:hAnsi="Arial" w:cs="Arial"/>
          <w:b/>
          <w:color w:val="000000"/>
          <w:sz w:val="24"/>
        </w:rPr>
      </w:pPr>
    </w:p>
    <w:p w:rsidR="00FD7E62" w:rsidRDefault="00FD7E62" w:rsidP="00FD7E62">
      <w:pPr>
        <w:jc w:val="center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noProof/>
          <w:color w:val="000000"/>
          <w:sz w:val="24"/>
          <w:lang w:eastAsia="en-IN"/>
        </w:rPr>
        <w:drawing>
          <wp:inline distT="0" distB="0" distL="0" distR="0">
            <wp:extent cx="5731510" cy="3044825"/>
            <wp:effectExtent l="0" t="0" r="2540" b="3175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E62" w:rsidRDefault="00FD7E62" w:rsidP="00FD7E62">
      <w:pPr>
        <w:jc w:val="center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i/>
          <w:color w:val="000000"/>
          <w:sz w:val="18"/>
        </w:rPr>
        <w:t>Figure 5.2: CPU/Memory requests vs limits and startup/readiness/liveness checks</w:t>
      </w:r>
    </w:p>
    <w:p w:rsidR="00FD7E62" w:rsidRDefault="00FD7E62" w:rsidP="00FD7E62">
      <w:pPr>
        <w:rPr>
          <w:rFonts w:ascii="Calibri" w:hAnsi="Calibri" w:cs="Calibri"/>
          <w:b/>
          <w:color w:val="000000"/>
        </w:rPr>
      </w:pPr>
    </w:p>
    <w:p w:rsidR="00FD7E62" w:rsidRDefault="00FD7E62" w:rsidP="00FD7E62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t>5.3 Network Policy Rules</w:t>
      </w:r>
    </w:p>
    <w:p w:rsidR="00FD7E62" w:rsidRDefault="00FD7E62" w:rsidP="00FD7E62">
      <w:pPr>
        <w:rPr>
          <w:rFonts w:ascii="Arial" w:hAnsi="Arial" w:cs="Arial"/>
          <w:b/>
          <w:color w:val="000000"/>
          <w:sz w:val="24"/>
        </w:rPr>
      </w:pPr>
    </w:p>
    <w:p w:rsidR="00FD7E62" w:rsidRDefault="00FD7E62" w:rsidP="00FD7E62">
      <w:pPr>
        <w:jc w:val="center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noProof/>
          <w:color w:val="000000"/>
          <w:sz w:val="24"/>
          <w:lang w:eastAsia="en-IN"/>
        </w:rPr>
        <w:drawing>
          <wp:inline distT="0" distB="0" distL="0" distR="0">
            <wp:extent cx="5731510" cy="3044825"/>
            <wp:effectExtent l="0" t="0" r="2540" b="3175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E62" w:rsidRDefault="00FD7E62" w:rsidP="00FD7E62">
      <w:pPr>
        <w:jc w:val="center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i/>
          <w:color w:val="000000"/>
          <w:sz w:val="18"/>
        </w:rPr>
        <w:t>Figure 5.3: Strict Network Policy block rules</w:t>
      </w:r>
    </w:p>
    <w:p w:rsidR="00FD7E62" w:rsidRDefault="00FD7E62" w:rsidP="00FD7E62">
      <w:pPr>
        <w:rPr>
          <w:rFonts w:ascii="Calibri" w:hAnsi="Calibri" w:cs="Calibri"/>
          <w:b/>
          <w:color w:val="000000"/>
        </w:rPr>
      </w:pPr>
    </w:p>
    <w:p w:rsidR="00FD7E62" w:rsidRDefault="00FD7E62" w:rsidP="00FD7E62">
      <w:pPr>
        <w:rPr>
          <w:rFonts w:ascii="Calibri" w:hAnsi="Calibri" w:cs="Calibri"/>
          <w:b/>
          <w:color w:val="000000"/>
        </w:rPr>
      </w:pPr>
    </w:p>
    <w:p w:rsidR="00FD7E62" w:rsidRDefault="00FD7E62" w:rsidP="00FD7E62">
      <w:pPr>
        <w:jc w:val="center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noProof/>
          <w:color w:val="000000"/>
          <w:lang w:eastAsia="en-IN"/>
        </w:rPr>
        <w:drawing>
          <wp:inline distT="0" distB="0" distL="0" distR="0">
            <wp:extent cx="5731510" cy="3044825"/>
            <wp:effectExtent l="0" t="0" r="2540" b="3175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E62" w:rsidRDefault="00FD7E62" w:rsidP="00FD7E62">
      <w:pPr>
        <w:jc w:val="center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i/>
          <w:color w:val="000000"/>
          <w:sz w:val="18"/>
        </w:rPr>
        <w:t>Figure 5.4: PostgreSQL Ingress Network Policy rules</w:t>
      </w:r>
    </w:p>
    <w:p w:rsidR="00FD7E62" w:rsidRDefault="00FD7E62" w:rsidP="00FD7E62">
      <w:pPr>
        <w:rPr>
          <w:rFonts w:ascii="Calibri" w:hAnsi="Calibri" w:cs="Calibri"/>
          <w:b/>
          <w:color w:val="000000"/>
        </w:rPr>
      </w:pPr>
    </w:p>
    <w:p w:rsidR="00FD7E62" w:rsidRDefault="00FD7E62" w:rsidP="00FD7E62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t>5.4 EKS Pods and Services Running Verification</w:t>
      </w:r>
    </w:p>
    <w:p w:rsidR="00FD7E62" w:rsidRDefault="00FD7E62" w:rsidP="00FD7E62">
      <w:pPr>
        <w:rPr>
          <w:rFonts w:ascii="Arial" w:hAnsi="Arial" w:cs="Arial"/>
          <w:b/>
          <w:color w:val="000000"/>
          <w:sz w:val="24"/>
        </w:rPr>
      </w:pPr>
    </w:p>
    <w:p w:rsidR="00FD7E62" w:rsidRDefault="00FD7E62" w:rsidP="00FD7E62">
      <w:pPr>
        <w:jc w:val="center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noProof/>
          <w:color w:val="000000"/>
          <w:sz w:val="24"/>
          <w:lang w:eastAsia="en-IN"/>
        </w:rPr>
        <w:drawing>
          <wp:inline distT="0" distB="0" distL="0" distR="0">
            <wp:extent cx="5731510" cy="3044825"/>
            <wp:effectExtent l="0" t="0" r="2540" b="3175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E62" w:rsidRDefault="00FD7E62" w:rsidP="00FD7E62">
      <w:pPr>
        <w:jc w:val="center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i/>
          <w:color w:val="000000"/>
          <w:sz w:val="18"/>
        </w:rPr>
        <w:t>Figure 5.5: Live EKS Namespace Pods and Services Status Check</w:t>
      </w:r>
    </w:p>
    <w:p w:rsidR="00FD7E62" w:rsidRDefault="00FD7E62" w:rsidP="00FD7E62">
      <w:pPr>
        <w:rPr>
          <w:rFonts w:ascii="Calibri" w:hAnsi="Calibri" w:cs="Calibri"/>
          <w:b/>
          <w:color w:val="000000"/>
        </w:rPr>
      </w:pPr>
    </w:p>
    <w:p w:rsidR="00FD7E62" w:rsidRDefault="00FD7E62" w:rsidP="00FD7E62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t>5.5 Kubernetes Sequenced Manual Apply Commands</w:t>
      </w:r>
    </w:p>
    <w:p w:rsidR="00FD7E62" w:rsidRDefault="00FD7E62" w:rsidP="00FD7E62">
      <w:pPr>
        <w:rPr>
          <w:rFonts w:ascii="Arial" w:hAnsi="Arial" w:cs="Arial"/>
          <w:b/>
          <w:color w:val="000000"/>
          <w:sz w:val="24"/>
        </w:rPr>
      </w:pPr>
    </w:p>
    <w:p w:rsidR="00FD7E62" w:rsidRDefault="00FD7E62" w:rsidP="00FD7E62">
      <w:pPr>
        <w:jc w:val="center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noProof/>
          <w:color w:val="000000"/>
          <w:sz w:val="24"/>
          <w:lang w:eastAsia="en-IN"/>
        </w:rPr>
        <w:drawing>
          <wp:inline distT="0" distB="0" distL="0" distR="0">
            <wp:extent cx="5731510" cy="3044825"/>
            <wp:effectExtent l="0" t="0" r="2540" b="3175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E62" w:rsidRDefault="00FD7E62" w:rsidP="00FD7E62">
      <w:pPr>
        <w:jc w:val="center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i/>
          <w:color w:val="000000"/>
          <w:sz w:val="18"/>
        </w:rPr>
        <w:t>Figure 5.6: Kubernetes Manual manifest apply CLI output</w:t>
      </w:r>
    </w:p>
    <w:p w:rsidR="00FD7E62" w:rsidRDefault="00FD7E62" w:rsidP="00FD7E62">
      <w:pPr>
        <w:rPr>
          <w:rFonts w:ascii="Calibri" w:hAnsi="Calibri" w:cs="Calibri"/>
          <w:b/>
          <w:color w:val="000000"/>
        </w:rPr>
      </w:pPr>
    </w:p>
    <w:p w:rsidR="00FD7E62" w:rsidRDefault="00FD7E62" w:rsidP="00FD7E62">
      <w:pPr>
        <w:rPr>
          <w:rFonts w:ascii="Arial" w:hAnsi="Arial" w:cs="Arial"/>
          <w:b/>
          <w:color w:val="000000"/>
          <w:sz w:val="32"/>
        </w:rPr>
      </w:pPr>
      <w:r>
        <w:rPr>
          <w:rFonts w:ascii="Arial" w:hAnsi="Arial" w:cs="Arial"/>
          <w:b/>
          <w:color w:val="000000"/>
          <w:sz w:val="32"/>
        </w:rPr>
        <w:t>6. Centralized Logging &amp; Monitoring Dashboards</w:t>
      </w:r>
    </w:p>
    <w:p w:rsidR="00FD7E62" w:rsidRDefault="00FD7E62" w:rsidP="00FD7E62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Centralized telemetry dashboards monitor cluster behavior using Prometheus metrics, Grafana charts, and Loki log streams.</w:t>
      </w:r>
    </w:p>
    <w:p w:rsidR="00FD7E62" w:rsidRDefault="00FD7E62" w:rsidP="00FD7E62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t>6.1 Grafana Monitoring Dashboard</w:t>
      </w:r>
    </w:p>
    <w:p w:rsidR="00FD7E62" w:rsidRDefault="00FD7E62" w:rsidP="00FD7E62">
      <w:pPr>
        <w:rPr>
          <w:rFonts w:ascii="Arial" w:hAnsi="Arial" w:cs="Arial"/>
          <w:b/>
          <w:color w:val="000000"/>
          <w:sz w:val="24"/>
        </w:rPr>
      </w:pPr>
    </w:p>
    <w:p w:rsidR="00FD7E62" w:rsidRDefault="00FD7E62" w:rsidP="00FD7E62">
      <w:pPr>
        <w:jc w:val="center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noProof/>
          <w:color w:val="000000"/>
          <w:sz w:val="24"/>
          <w:lang w:eastAsia="en-IN"/>
        </w:rPr>
        <w:drawing>
          <wp:inline distT="0" distB="0" distL="0" distR="0">
            <wp:extent cx="4194048" cy="2340864"/>
            <wp:effectExtent l="0" t="0" r="0" b="254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048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E62" w:rsidRDefault="00FD7E62" w:rsidP="00FD7E62">
      <w:pPr>
        <w:jc w:val="center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i/>
          <w:color w:val="000000"/>
          <w:sz w:val="18"/>
        </w:rPr>
        <w:t>Figure 6.1: Live Grafana EKS Pod Metrics Monitor</w:t>
      </w:r>
    </w:p>
    <w:p w:rsidR="00FD7E62" w:rsidRDefault="00FD7E62" w:rsidP="00FD7E62">
      <w:pPr>
        <w:rPr>
          <w:rFonts w:ascii="Calibri" w:hAnsi="Calibri" w:cs="Calibri"/>
          <w:b/>
          <w:color w:val="000000"/>
        </w:rPr>
      </w:pPr>
    </w:p>
    <w:p w:rsidR="00FD7E62" w:rsidRDefault="00FD7E62" w:rsidP="00FD7E62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t>6.2 Loki Logs Explorer</w:t>
      </w:r>
    </w:p>
    <w:p w:rsidR="00FD7E62" w:rsidRDefault="00FD7E62" w:rsidP="00FD7E62">
      <w:pPr>
        <w:rPr>
          <w:rFonts w:ascii="Arial" w:hAnsi="Arial" w:cs="Arial"/>
          <w:b/>
          <w:color w:val="000000"/>
          <w:sz w:val="24"/>
        </w:rPr>
      </w:pPr>
    </w:p>
    <w:p w:rsidR="00FD7E62" w:rsidRDefault="00FD7E62" w:rsidP="00FD7E62">
      <w:pPr>
        <w:jc w:val="center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noProof/>
          <w:color w:val="000000"/>
          <w:sz w:val="24"/>
          <w:lang w:eastAsia="en-IN"/>
        </w:rPr>
        <w:drawing>
          <wp:inline distT="0" distB="0" distL="0" distR="0">
            <wp:extent cx="4194048" cy="2340864"/>
            <wp:effectExtent l="0" t="0" r="0" b="254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048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E62" w:rsidRDefault="00FD7E62" w:rsidP="00FD7E62">
      <w:pPr>
        <w:jc w:val="center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i/>
          <w:color w:val="000000"/>
          <w:sz w:val="18"/>
        </w:rPr>
        <w:t>Figure 6.2: Centralized Logging Stream logs in Grafana Explore</w:t>
      </w:r>
    </w:p>
    <w:p w:rsidR="00FD7E62" w:rsidRDefault="00FD7E62" w:rsidP="00FD7E62">
      <w:pPr>
        <w:rPr>
          <w:rFonts w:ascii="Calibri" w:hAnsi="Calibri" w:cs="Calibri"/>
          <w:b/>
          <w:color w:val="000000"/>
        </w:rPr>
      </w:pPr>
    </w:p>
    <w:p w:rsidR="00FD7E62" w:rsidRPr="00FD7E62" w:rsidRDefault="00FD7E62" w:rsidP="00FD7E62">
      <w:pPr>
        <w:rPr>
          <w:rFonts w:ascii="Calibri" w:hAnsi="Calibri" w:cs="Calibri"/>
          <w:b/>
          <w:color w:val="000000"/>
        </w:rPr>
      </w:pPr>
      <w:bookmarkStart w:id="0" w:name="_GoBack"/>
      <w:bookmarkEnd w:id="0"/>
    </w:p>
    <w:sectPr w:rsidR="00FD7E62" w:rsidRPr="00FD7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E62"/>
    <w:rsid w:val="005E6588"/>
    <w:rsid w:val="00FD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9FC2A3-BF35-42F3-B192-F092E8DB9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2026-07-10T20:50:00Z</dcterms:created>
  <dcterms:modified xsi:type="dcterms:W3CDTF">2026-07-10T20:50:00Z</dcterms:modified>
</cp:coreProperties>
</file>