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METRA — Complete Project Documentation Index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Purpose</w:t>
      </w:r>
    </w:p>
    <w:p>
      <w:pPr>
        <w:spacing w:after="100" w:line="259" w:lineRule="auto"/>
      </w:pPr>
      <w:r>
        <w:rPr>
          <w:sz w:val="20"/>
        </w:rPr>
        <w:t>This package contains 20 project documents for METRA, the SIH26034 solution. Use this index as the master navigation document; use the separate documents for detailed implementation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Project Brief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01_Project_Brief.docx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Product Requirements Document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02_PRD.docx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 Stories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03_User_Stories.docx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UI/UX Specification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04_UI_UX_Specification.docx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User/App Flow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05_User_App_Flow.docx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Technical Requirements Document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06_TRD.docx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System Architecture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07_System_Architecture.docx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Database Schema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08_Database_Schema.docx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9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Backend Architecture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09_Backend_Architecture.docx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API Specification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10_API_Specification.docx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11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Authentication &amp; Authorization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11_Authentication_Authorization.docx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Business Rules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12_Business_Rules.docx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13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Data Dictionary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13_Data_Dictionary.docx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Security Specification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14_Security_Specification.docx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15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Implementation Plan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15_Implementation_Plan.docx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Testing Strategy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16_Testing_Strategy.docx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17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Test Cases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17_Test_Cases.docx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Deployment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18_Deployment_Plan.docx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19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Environment Specification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19_Environment_Specification.docx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Requirements Traceability Matrix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20_Requirements_Traceability_Matrix.docx</w:t>
            </w:r>
          </w:p>
        </w:tc>
      </w:tr>
    </w:tbl>
    <w:p/>
    <w:p>
      <w:pPr>
        <w:pStyle w:val="Heading1"/>
        <w:spacing w:before="200" w:after="100"/>
      </w:pPr>
      <w:r>
        <w:t>Project Source of Truth</w:t>
      </w:r>
    </w:p>
    <w:p>
      <w:pPr>
        <w:spacing w:after="100" w:line="259" w:lineRule="auto"/>
      </w:pPr>
      <w:r>
        <w:rPr>
          <w:sz w:val="20"/>
        </w:rPr>
        <w:t>The documents intentionally use simple language but keep the architecture production-oriented. Regulatory logic must be maintained from current official Legal Metrology sources; the application must not treat the LLM as the legal source of truth.</w:t>
      </w:r>
    </w:p>
    <w:p>
      <w:pPr>
        <w:pStyle w:val="Heading1"/>
        <w:spacing w:before="200" w:after="100"/>
      </w:pPr>
      <w:r>
        <w:t>Reference sources</w:t>
      </w:r>
    </w:p>
    <w:p>
      <w:pPr>
        <w:pStyle w:val="ListBullet"/>
        <w:spacing w:after="60"/>
      </w:pPr>
      <w:r>
        <w:rPr>
          <w:sz w:val="20"/>
        </w:rPr>
        <w:t>Department of Consumer Affairs — Legal Metrology overview: https://consumeraffairs.gov.in/pages/legal-metrology-overview</w:t>
      </w:r>
    </w:p>
    <w:p>
      <w:pPr>
        <w:pStyle w:val="ListBullet"/>
        <w:spacing w:after="60"/>
      </w:pPr>
      <w:r>
        <w:rPr>
          <w:sz w:val="20"/>
        </w:rPr>
        <w:t>Department of Consumer Affairs — Legal Metrology Act and rules: https://consumeraffairs.gov.in/pages/legal-metrology-act</w:t>
      </w:r>
    </w:p>
    <w:p>
      <w:pPr>
        <w:pStyle w:val="ListBullet"/>
        <w:spacing w:after="60"/>
      </w:pPr>
      <w:r>
        <w:rPr>
          <w:sz w:val="20"/>
        </w:rPr>
        <w:t>India Code — Legal Metrology Act, 2009: https://www.indiacode.nic.in/handle/123456789/2102</w:t>
      </w:r>
    </w:p>
    <w:p>
      <w:pPr>
        <w:pStyle w:val="ListBullet"/>
        <w:spacing w:after="60"/>
      </w:pPr>
      <w:r>
        <w:rPr>
          <w:sz w:val="20"/>
        </w:rPr>
        <w:t>Use the latest official rule/amendment documents maintained by the Department as the regulatory source of truth.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