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02. Product Requirements Document (PRD)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Product Vision</w:t>
      </w:r>
    </w:p>
    <w:p>
      <w:pPr>
        <w:spacing w:after="100" w:line="259" w:lineRule="auto"/>
      </w:pPr>
      <w:r>
        <w:rPr>
          <w:sz w:val="20"/>
        </w:rPr>
        <w:t>Make packaged-commodity inspection faster, more consistent, explainable, and easier to audit.</w:t>
      </w:r>
    </w:p>
    <w:p>
      <w:pPr>
        <w:pStyle w:val="Heading1"/>
        <w:spacing w:before="200" w:after="100"/>
      </w:pPr>
      <w:r>
        <w:t>2.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Need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Quickly inspect packages and verify findings.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Supervisor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Review inspection trends, exceptions, and reports.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Manufacturer / Packer / Importer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Pre-screen package labels before release.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System 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Manage users, categories, rules, and settings.</w:t>
            </w:r>
          </w:p>
        </w:tc>
      </w:tr>
    </w:tbl>
    <w:p/>
    <w:p>
      <w:pPr>
        <w:pStyle w:val="Heading1"/>
        <w:spacing w:before="200" w:after="100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Create inspection and upload multiple package images.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Run image quality checks.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Extract declarations using OCR/vision.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Map fields into a structured product record.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FR-05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Select the applicable rule pack.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Run deterministic compliance checks.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FR-07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Attach evidence and confidence to findings.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Send uncertain cases for human review.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FR-09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Generate PDF inspection report.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Store inspection history and audit events.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FR-11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Dashboard and search/filter.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Should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Rule-pack version management.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Should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FR-13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Manufacturer pre-screening mode.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Could</w:t>
            </w:r>
          </w:p>
        </w:tc>
      </w:tr>
    </w:tbl>
    <w:p/>
    <w:p>
      <w:pPr>
        <w:pStyle w:val="Heading1"/>
        <w:spacing w:before="200" w:after="100"/>
      </w:pPr>
      <w:r>
        <w:t>4. Non-Functional Requirements</w:t>
      </w:r>
    </w:p>
    <w:p>
      <w:pPr>
        <w:pStyle w:val="ListBullet"/>
        <w:spacing w:after="60"/>
      </w:pPr>
      <w:r>
        <w:rPr>
          <w:sz w:val="20"/>
        </w:rPr>
        <w:t>Usable on desktop and mobile browsers.</w:t>
      </w:r>
    </w:p>
    <w:p>
      <w:pPr>
        <w:pStyle w:val="ListBullet"/>
        <w:spacing w:after="60"/>
      </w:pPr>
      <w:r>
        <w:rPr>
          <w:sz w:val="20"/>
        </w:rPr>
        <w:t>Secure upload and access control.</w:t>
      </w:r>
    </w:p>
    <w:p>
      <w:pPr>
        <w:pStyle w:val="ListBullet"/>
        <w:spacing w:after="60"/>
      </w:pPr>
      <w:r>
        <w:rPr>
          <w:sz w:val="20"/>
        </w:rPr>
        <w:t>Clear audit trail.</w:t>
      </w:r>
    </w:p>
    <w:p>
      <w:pPr>
        <w:pStyle w:val="ListBullet"/>
        <w:spacing w:after="60"/>
      </w:pPr>
      <w:r>
        <w:rPr>
          <w:sz w:val="20"/>
        </w:rPr>
        <w:t>API-first backend.</w:t>
      </w:r>
    </w:p>
    <w:p>
      <w:pPr>
        <w:pStyle w:val="ListBullet"/>
        <w:spacing w:after="60"/>
      </w:pPr>
      <w:r>
        <w:rPr>
          <w:sz w:val="20"/>
        </w:rPr>
        <w:t>AI provider can be replaced without rewriting the rule engine.</w:t>
      </w:r>
    </w:p>
    <w:p>
      <w:pPr>
        <w:pStyle w:val="ListBullet"/>
        <w:spacing w:after="60"/>
      </w:pPr>
      <w:r>
        <w:rPr>
          <w:sz w:val="20"/>
        </w:rPr>
        <w:t>Graceful handling of low-quality images.</w:t>
      </w:r>
    </w:p>
    <w:p>
      <w:pPr>
        <w:pStyle w:val="Heading1"/>
        <w:spacing w:before="200" w:after="100"/>
      </w:pPr>
      <w:r>
        <w:t>5. MVP Acceptance</w:t>
      </w:r>
    </w:p>
    <w:p>
      <w:pPr>
        <w:pStyle w:val="ListBullet"/>
        <w:spacing w:after="60"/>
      </w:pPr>
      <w:r>
        <w:rPr>
          <w:sz w:val="20"/>
        </w:rPr>
        <w:t>A user can complete one inspection from image upload to report.</w:t>
      </w:r>
    </w:p>
    <w:p>
      <w:pPr>
        <w:pStyle w:val="ListBullet"/>
        <w:spacing w:after="60"/>
      </w:pPr>
      <w:r>
        <w:rPr>
          <w:sz w:val="20"/>
        </w:rPr>
        <w:t>At least one compliant, one violation, and one low-confidence case work end-to-end.</w:t>
      </w:r>
    </w:p>
    <w:p>
      <w:pPr>
        <w:pStyle w:val="ListBullet"/>
        <w:spacing w:after="60"/>
      </w:pPr>
      <w:r>
        <w:rPr>
          <w:sz w:val="20"/>
        </w:rPr>
        <w:t>Every finding shows evidence and rule reference.</w:t>
      </w:r>
    </w:p>
    <w:p>
      <w:pPr>
        <w:pStyle w:val="ListBullet"/>
        <w:spacing w:after="60"/>
      </w:pPr>
      <w:r>
        <w:rPr>
          <w:sz w:val="20"/>
        </w:rPr>
        <w:t>Human review can override an AI-assisted finding.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