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11. Authentication &amp; Authorization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Inspector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Create inspections, analyze, review assigned findings, generate reports.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Supervisor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View team inspections, review trends, access reports, manage review workload.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Manufacturer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Run pre-screening and view own pre-screening history.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Admin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Manage users, roles, rule packs, system configuration.</w:t>
            </w:r>
          </w:p>
        </w:tc>
      </w:tr>
    </w:tbl>
    <w:p/>
    <w:p>
      <w:pPr>
        <w:pStyle w:val="Heading1"/>
        <w:spacing w:before="200" w:after="100"/>
      </w:pPr>
      <w:r>
        <w:t>2. Authentication</w:t>
      </w:r>
    </w:p>
    <w:p>
      <w:pPr>
        <w:pStyle w:val="ListBullet"/>
        <w:spacing w:after="60"/>
      </w:pPr>
      <w:r>
        <w:rPr>
          <w:sz w:val="20"/>
        </w:rPr>
        <w:t>Use Supabase Auth or an equivalent secure identity service.</w:t>
      </w:r>
    </w:p>
    <w:p>
      <w:pPr>
        <w:pStyle w:val="ListBullet"/>
        <w:spacing w:after="60"/>
      </w:pPr>
      <w:r>
        <w:rPr>
          <w:sz w:val="20"/>
        </w:rPr>
        <w:t>Use short-lived access tokens/session and secure refresh/session handling.</w:t>
      </w:r>
    </w:p>
    <w:p>
      <w:pPr>
        <w:pStyle w:val="ListBullet"/>
        <w:spacing w:after="60"/>
      </w:pPr>
      <w:r>
        <w:rPr>
          <w:sz w:val="20"/>
        </w:rPr>
        <w:t>Force re-authentication for highly sensitive admin actions where appropriate.</w:t>
      </w:r>
    </w:p>
    <w:p>
      <w:pPr>
        <w:pStyle w:val="ListBullet"/>
        <w:spacing w:after="60"/>
      </w:pPr>
      <w:r>
        <w:rPr>
          <w:sz w:val="20"/>
        </w:rPr>
        <w:t>Store passwords only through the managed auth provider; never in METRA business tables.</w:t>
      </w:r>
    </w:p>
    <w:p>
      <w:pPr>
        <w:pStyle w:val="Heading1"/>
        <w:spacing w:before="200" w:after="100"/>
      </w:pPr>
      <w:r>
        <w:t>3. Authorization</w:t>
      </w:r>
    </w:p>
    <w:p>
      <w:pPr>
        <w:pStyle w:val="ListBullet"/>
        <w:spacing w:after="60"/>
      </w:pPr>
      <w:r>
        <w:rPr>
          <w:sz w:val="20"/>
        </w:rPr>
        <w:t>Every protected API checks both authentication and role/ownership.</w:t>
      </w:r>
    </w:p>
    <w:p>
      <w:pPr>
        <w:pStyle w:val="ListBullet"/>
        <w:spacing w:after="60"/>
      </w:pPr>
      <w:r>
        <w:rPr>
          <w:sz w:val="20"/>
        </w:rPr>
        <w:t>Manufacturer users can see only their organization data.</w:t>
      </w:r>
    </w:p>
    <w:p>
      <w:pPr>
        <w:pStyle w:val="ListBullet"/>
        <w:spacing w:after="60"/>
      </w:pPr>
      <w:r>
        <w:rPr>
          <w:sz w:val="20"/>
        </w:rPr>
        <w:t>Inspectors cannot publish rules.</w:t>
      </w:r>
    </w:p>
    <w:p>
      <w:pPr>
        <w:pStyle w:val="ListBullet"/>
        <w:spacing w:after="60"/>
      </w:pPr>
      <w:r>
        <w:rPr>
          <w:sz w:val="20"/>
        </w:rPr>
        <w:t>Only admins can publish rule packs or change system permissions.</w:t>
      </w:r>
    </w:p>
    <w:p>
      <w:pPr>
        <w:pStyle w:val="ListBullet"/>
        <w:spacing w:after="60"/>
      </w:pPr>
      <w:r>
        <w:rPr>
          <w:sz w:val="20"/>
        </w:rPr>
        <w:t>Finalized inspection records are read-only except through controlled amendment flow.</w:t>
      </w:r>
    </w:p>
    <w:p>
      <w:pPr>
        <w:pStyle w:val="Heading1"/>
        <w:spacing w:before="200" w:after="100"/>
      </w:pPr>
      <w:r>
        <w:t>4. Audit</w:t>
      </w:r>
    </w:p>
    <w:p>
      <w:pPr>
        <w:pStyle w:val="ListBullet"/>
        <w:spacing w:after="60"/>
      </w:pPr>
      <w:r>
        <w:rPr>
          <w:sz w:val="20"/>
        </w:rPr>
        <w:t>Record login/security events, inspection creation/finalization, rule publication, review decisions, and report generation.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